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86" w:rsidRPr="00513F86" w:rsidRDefault="00513F86" w:rsidP="00513F86">
      <w:pPr>
        <w:shd w:val="clear" w:color="auto" w:fill="FFFFFF"/>
        <w:spacing w:after="0" w:line="288" w:lineRule="atLeast"/>
        <w:outlineLvl w:val="0"/>
        <w:rPr>
          <w:rFonts w:ascii="Segoe UI" w:eastAsia="Times New Roman" w:hAnsi="Segoe UI" w:cs="Segoe UI"/>
          <w:b/>
          <w:bCs/>
          <w:color w:val="222222"/>
          <w:kern w:val="36"/>
          <w:sz w:val="38"/>
          <w:szCs w:val="38"/>
          <w:lang w:eastAsia="pl-PL"/>
        </w:rPr>
      </w:pPr>
      <w:bookmarkStart w:id="0" w:name="_GoBack"/>
      <w:r w:rsidRPr="00513F86">
        <w:rPr>
          <w:rFonts w:ascii="Segoe UI" w:eastAsia="Times New Roman" w:hAnsi="Segoe UI" w:cs="Segoe UI"/>
          <w:b/>
          <w:bCs/>
          <w:color w:val="222222"/>
          <w:kern w:val="36"/>
          <w:sz w:val="38"/>
          <w:szCs w:val="38"/>
          <w:lang w:eastAsia="pl-PL"/>
        </w:rPr>
        <w:t>Profilaktyka logopedyczna w pigułce, czyli jak zapobiegać wadom wymowy u dzieci</w:t>
      </w:r>
    </w:p>
    <w:bookmarkEnd w:id="0"/>
    <w:p w:rsidR="00502CD1" w:rsidRDefault="00513F86"/>
    <w:p w:rsidR="00513F86" w:rsidRDefault="00513F86"/>
    <w:p w:rsidR="00513F86" w:rsidRDefault="00513F86" w:rsidP="00513F86">
      <w:pPr>
        <w:pStyle w:val="NormalnyWeb"/>
        <w:shd w:val="clear" w:color="auto" w:fill="FFFFFF"/>
        <w:spacing w:before="0" w:beforeAutospacing="0" w:after="360" w:afterAutospacing="0"/>
        <w:jc w:val="both"/>
        <w:rPr>
          <w:rFonts w:ascii="Segoe UI" w:hAnsi="Segoe UI" w:cs="Segoe UI"/>
          <w:color w:val="222222"/>
          <w:sz w:val="21"/>
          <w:szCs w:val="21"/>
        </w:rPr>
      </w:pPr>
      <w:r>
        <w:rPr>
          <w:rFonts w:ascii="Segoe UI" w:hAnsi="Segoe UI" w:cs="Segoe UI"/>
          <w:color w:val="222222"/>
          <w:sz w:val="21"/>
          <w:szCs w:val="21"/>
        </w:rPr>
        <w:t>Nieprawidłowości w wymowie pojawiają się wraz z </w:t>
      </w:r>
      <w:r>
        <w:rPr>
          <w:rStyle w:val="Pogrubienie"/>
          <w:rFonts w:ascii="Segoe UI" w:hAnsi="Segoe UI" w:cs="Segoe UI"/>
          <w:color w:val="222222"/>
          <w:sz w:val="21"/>
          <w:szCs w:val="21"/>
        </w:rPr>
        <w:t>rozwojem mowy dziecka</w:t>
      </w:r>
      <w:r>
        <w:rPr>
          <w:rFonts w:ascii="Segoe UI" w:hAnsi="Segoe UI" w:cs="Segoe UI"/>
          <w:color w:val="222222"/>
          <w:sz w:val="21"/>
          <w:szCs w:val="21"/>
        </w:rPr>
        <w:t> i wtedy najczęściej wymagają interwencji </w:t>
      </w:r>
      <w:r>
        <w:rPr>
          <w:rStyle w:val="Pogrubienie"/>
          <w:rFonts w:ascii="Segoe UI" w:hAnsi="Segoe UI" w:cs="Segoe UI"/>
          <w:color w:val="222222"/>
          <w:sz w:val="21"/>
          <w:szCs w:val="21"/>
        </w:rPr>
        <w:t>logopedy</w:t>
      </w:r>
      <w:r>
        <w:rPr>
          <w:rFonts w:ascii="Segoe UI" w:hAnsi="Segoe UI" w:cs="Segoe UI"/>
          <w:color w:val="222222"/>
          <w:sz w:val="21"/>
          <w:szCs w:val="21"/>
        </w:rPr>
        <w:t>. Warto jednak wiedzieć, że wadom wymowy można zapobiegać lub zminimalizować ryzyko ich wystąpienia. Przeciwdziałać nieprawidłowościom rozwoju mowy dzieci możemy już:</w:t>
      </w:r>
    </w:p>
    <w:p w:rsidR="00513F86" w:rsidRDefault="00513F86" w:rsidP="00513F86">
      <w:pPr>
        <w:pStyle w:val="NormalnyWeb"/>
        <w:shd w:val="clear" w:color="auto" w:fill="FFFFFF"/>
        <w:spacing w:before="0" w:beforeAutospacing="0" w:after="360" w:afterAutospacing="0"/>
        <w:rPr>
          <w:rFonts w:ascii="Segoe UI" w:hAnsi="Segoe UI" w:cs="Segoe UI"/>
          <w:color w:val="222222"/>
          <w:sz w:val="21"/>
          <w:szCs w:val="21"/>
        </w:rPr>
      </w:pPr>
      <w:r>
        <w:rPr>
          <w:rFonts w:ascii="Segoe UI" w:hAnsi="Segoe UI" w:cs="Segoe UI"/>
          <w:color w:val="222222"/>
          <w:sz w:val="21"/>
          <w:szCs w:val="21"/>
        </w:rPr>
        <w:t>a</w:t>
      </w:r>
      <w:r>
        <w:rPr>
          <w:rFonts w:ascii="Segoe UI" w:hAnsi="Segoe UI" w:cs="Segoe UI"/>
          <w:color w:val="222222"/>
          <w:sz w:val="21"/>
          <w:szCs w:val="21"/>
        </w:rPr>
        <w:t>) w czasie ciąży,</w:t>
      </w:r>
    </w:p>
    <w:p w:rsidR="00513F86" w:rsidRDefault="00513F86" w:rsidP="00513F86">
      <w:pPr>
        <w:pStyle w:val="NormalnyWeb"/>
        <w:shd w:val="clear" w:color="auto" w:fill="FFFFFF"/>
        <w:spacing w:before="0" w:beforeAutospacing="0" w:after="360" w:afterAutospacing="0"/>
        <w:rPr>
          <w:rFonts w:ascii="Segoe UI" w:hAnsi="Segoe UI" w:cs="Segoe UI"/>
          <w:color w:val="222222"/>
          <w:sz w:val="21"/>
          <w:szCs w:val="21"/>
        </w:rPr>
      </w:pPr>
      <w:r>
        <w:rPr>
          <w:rFonts w:ascii="Segoe UI" w:hAnsi="Segoe UI" w:cs="Segoe UI"/>
          <w:color w:val="222222"/>
          <w:sz w:val="21"/>
          <w:szCs w:val="21"/>
        </w:rPr>
        <w:t>b</w:t>
      </w:r>
      <w:r>
        <w:rPr>
          <w:rFonts w:ascii="Segoe UI" w:hAnsi="Segoe UI" w:cs="Segoe UI"/>
          <w:color w:val="222222"/>
          <w:sz w:val="21"/>
          <w:szCs w:val="21"/>
        </w:rPr>
        <w:t>) w bardzo wczesnym dzieciństwie.</w:t>
      </w:r>
    </w:p>
    <w:p w:rsidR="00513F86" w:rsidRDefault="00513F86" w:rsidP="00513F86">
      <w:pPr>
        <w:pStyle w:val="NormalnyWeb"/>
        <w:shd w:val="clear" w:color="auto" w:fill="FFFFFF"/>
        <w:spacing w:before="0" w:beforeAutospacing="0" w:after="360" w:afterAutospacing="0"/>
        <w:jc w:val="both"/>
        <w:rPr>
          <w:rFonts w:ascii="Segoe UI" w:hAnsi="Segoe UI" w:cs="Segoe UI"/>
          <w:color w:val="222222"/>
          <w:sz w:val="21"/>
          <w:szCs w:val="21"/>
        </w:rPr>
      </w:pPr>
      <w:r>
        <w:rPr>
          <w:rStyle w:val="Pogrubienie"/>
          <w:rFonts w:ascii="Segoe UI" w:hAnsi="Segoe UI" w:cs="Segoe UI"/>
          <w:color w:val="222222"/>
          <w:sz w:val="21"/>
          <w:szCs w:val="21"/>
        </w:rPr>
        <w:t>W czasie ciąży</w:t>
      </w:r>
    </w:p>
    <w:p w:rsidR="00513F86" w:rsidRDefault="00513F86" w:rsidP="00513F86">
      <w:pPr>
        <w:pStyle w:val="NormalnyWeb"/>
        <w:shd w:val="clear" w:color="auto" w:fill="FFFFFF"/>
        <w:spacing w:before="0" w:beforeAutospacing="0" w:after="360" w:afterAutospacing="0"/>
        <w:jc w:val="both"/>
        <w:rPr>
          <w:rFonts w:ascii="Segoe UI" w:hAnsi="Segoe UI" w:cs="Segoe UI"/>
          <w:color w:val="222222"/>
          <w:sz w:val="21"/>
          <w:szCs w:val="21"/>
        </w:rPr>
      </w:pPr>
      <w:r>
        <w:rPr>
          <w:rFonts w:ascii="Segoe UI" w:hAnsi="Segoe UI" w:cs="Segoe UI"/>
          <w:color w:val="222222"/>
          <w:sz w:val="21"/>
          <w:szCs w:val="21"/>
        </w:rPr>
        <w:t>Gdy w łonie mamy pojawi się oczekiwany mały człowiek, oprócz stosowania się do powyższych wskazówek, należy unikać </w:t>
      </w:r>
      <w:r>
        <w:rPr>
          <w:rStyle w:val="Pogrubienie"/>
          <w:rFonts w:ascii="Segoe UI" w:hAnsi="Segoe UI" w:cs="Segoe UI"/>
          <w:color w:val="222222"/>
          <w:sz w:val="21"/>
          <w:szCs w:val="21"/>
        </w:rPr>
        <w:t>chorób</w:t>
      </w:r>
      <w:r>
        <w:rPr>
          <w:rFonts w:ascii="Segoe UI" w:hAnsi="Segoe UI" w:cs="Segoe UI"/>
          <w:color w:val="222222"/>
          <w:sz w:val="21"/>
          <w:szCs w:val="21"/>
        </w:rPr>
        <w:t xml:space="preserve">, zwłaszcza wirusowych takich jak: ospa, cytomegalia, odra, różyczka, opryszczka i bakteryjnych </w:t>
      </w:r>
      <w:proofErr w:type="spellStart"/>
      <w:r>
        <w:rPr>
          <w:rFonts w:ascii="Segoe UI" w:hAnsi="Segoe UI" w:cs="Segoe UI"/>
          <w:color w:val="222222"/>
          <w:sz w:val="21"/>
          <w:szCs w:val="21"/>
        </w:rPr>
        <w:t>t.j</w:t>
      </w:r>
      <w:proofErr w:type="spellEnd"/>
      <w:r>
        <w:rPr>
          <w:rFonts w:ascii="Segoe UI" w:hAnsi="Segoe UI" w:cs="Segoe UI"/>
          <w:color w:val="222222"/>
          <w:sz w:val="21"/>
          <w:szCs w:val="21"/>
        </w:rPr>
        <w:t xml:space="preserve">.: toksoplazmoza, </w:t>
      </w:r>
      <w:proofErr w:type="spellStart"/>
      <w:r>
        <w:rPr>
          <w:rFonts w:ascii="Segoe UI" w:hAnsi="Segoe UI" w:cs="Segoe UI"/>
          <w:color w:val="222222"/>
          <w:sz w:val="21"/>
          <w:szCs w:val="21"/>
        </w:rPr>
        <w:t>listerioza</w:t>
      </w:r>
      <w:proofErr w:type="spellEnd"/>
      <w:r>
        <w:rPr>
          <w:rFonts w:ascii="Segoe UI" w:hAnsi="Segoe UI" w:cs="Segoe UI"/>
          <w:color w:val="222222"/>
          <w:sz w:val="21"/>
          <w:szCs w:val="21"/>
        </w:rPr>
        <w:t xml:space="preserve"> i kiła. Trzeba tu dodać, że zachorowanie na którąś z powyższych chorób jest szczególnie niebezpieczne, gdy kobieta zapada na nią po raz pierwszy w życiu dopiero wtedy, gdy jest w ciąży. Organizm matki, nie mając odpowiednich przeciwciał, nie wie, jak się bronić przed wirusem czy bakterią, a wtedy życie i zdrowie dziecka są poważnie zagrożone. </w:t>
      </w:r>
    </w:p>
    <w:p w:rsidR="00513F86" w:rsidRDefault="00513F86" w:rsidP="00513F86">
      <w:pPr>
        <w:pStyle w:val="NormalnyWeb"/>
        <w:shd w:val="clear" w:color="auto" w:fill="FFFFFF"/>
        <w:spacing w:before="0" w:beforeAutospacing="0" w:after="360" w:afterAutospacing="0"/>
        <w:jc w:val="both"/>
        <w:rPr>
          <w:rFonts w:ascii="Segoe UI" w:hAnsi="Segoe UI" w:cs="Segoe UI"/>
          <w:color w:val="222222"/>
          <w:sz w:val="21"/>
          <w:szCs w:val="21"/>
        </w:rPr>
      </w:pPr>
      <w:r>
        <w:rPr>
          <w:rFonts w:ascii="Segoe UI" w:hAnsi="Segoe UI" w:cs="Segoe UI"/>
          <w:color w:val="222222"/>
          <w:sz w:val="21"/>
          <w:szCs w:val="21"/>
        </w:rPr>
        <w:t>Należy z wielką ostrożnością stosować wszelkie </w:t>
      </w:r>
      <w:r>
        <w:rPr>
          <w:rStyle w:val="Pogrubienie"/>
          <w:rFonts w:ascii="Segoe UI" w:hAnsi="Segoe UI" w:cs="Segoe UI"/>
          <w:color w:val="222222"/>
          <w:sz w:val="21"/>
          <w:szCs w:val="21"/>
        </w:rPr>
        <w:t>leki</w:t>
      </w:r>
      <w:r>
        <w:rPr>
          <w:rFonts w:ascii="Segoe UI" w:hAnsi="Segoe UI" w:cs="Segoe UI"/>
          <w:color w:val="222222"/>
          <w:sz w:val="21"/>
          <w:szCs w:val="21"/>
        </w:rPr>
        <w:t>, ponieważ niektóre z nich mogą zagrażać zdrowiu dziecka. Np. leki takie jak streptomycyna, erytromycyna i inne z grupy „-</w:t>
      </w:r>
      <w:proofErr w:type="spellStart"/>
      <w:r>
        <w:rPr>
          <w:rFonts w:ascii="Segoe UI" w:hAnsi="Segoe UI" w:cs="Segoe UI"/>
          <w:color w:val="222222"/>
          <w:sz w:val="21"/>
          <w:szCs w:val="21"/>
        </w:rPr>
        <w:t>mycyny</w:t>
      </w:r>
      <w:proofErr w:type="spellEnd"/>
      <w:r>
        <w:rPr>
          <w:rFonts w:ascii="Segoe UI" w:hAnsi="Segoe UI" w:cs="Segoe UI"/>
          <w:color w:val="222222"/>
          <w:sz w:val="21"/>
          <w:szCs w:val="21"/>
        </w:rPr>
        <w:t xml:space="preserve">” (stosowane dawniej) oraz ich nowsze odpowiedniki tj. </w:t>
      </w:r>
      <w:proofErr w:type="spellStart"/>
      <w:r>
        <w:rPr>
          <w:rFonts w:ascii="Segoe UI" w:hAnsi="Segoe UI" w:cs="Segoe UI"/>
          <w:color w:val="222222"/>
          <w:sz w:val="21"/>
          <w:szCs w:val="21"/>
        </w:rPr>
        <w:t>biodacyna</w:t>
      </w:r>
      <w:proofErr w:type="spellEnd"/>
      <w:r>
        <w:rPr>
          <w:rFonts w:ascii="Segoe UI" w:hAnsi="Segoe UI" w:cs="Segoe UI"/>
          <w:color w:val="222222"/>
          <w:sz w:val="21"/>
          <w:szCs w:val="21"/>
        </w:rPr>
        <w:t xml:space="preserve"> i </w:t>
      </w:r>
      <w:proofErr w:type="spellStart"/>
      <w:r>
        <w:rPr>
          <w:rFonts w:ascii="Segoe UI" w:hAnsi="Segoe UI" w:cs="Segoe UI"/>
          <w:color w:val="222222"/>
          <w:sz w:val="21"/>
          <w:szCs w:val="21"/>
        </w:rPr>
        <w:t>amikacin</w:t>
      </w:r>
      <w:proofErr w:type="spellEnd"/>
      <w:r>
        <w:rPr>
          <w:rFonts w:ascii="Segoe UI" w:hAnsi="Segoe UI" w:cs="Segoe UI"/>
          <w:color w:val="222222"/>
          <w:sz w:val="21"/>
          <w:szCs w:val="21"/>
        </w:rPr>
        <w:t xml:space="preserve"> należą do grupy leków </w:t>
      </w:r>
      <w:proofErr w:type="spellStart"/>
      <w:r>
        <w:rPr>
          <w:rFonts w:ascii="Segoe UI" w:hAnsi="Segoe UI" w:cs="Segoe UI"/>
          <w:color w:val="222222"/>
          <w:sz w:val="21"/>
          <w:szCs w:val="21"/>
        </w:rPr>
        <w:t>ototoksycznych</w:t>
      </w:r>
      <w:proofErr w:type="spellEnd"/>
      <w:r>
        <w:rPr>
          <w:rFonts w:ascii="Segoe UI" w:hAnsi="Segoe UI" w:cs="Segoe UI"/>
          <w:color w:val="222222"/>
          <w:sz w:val="21"/>
          <w:szCs w:val="21"/>
        </w:rPr>
        <w:t>. Oznacza to, że mogą uszkadzać słuch. Najlepiej jest konsultować zażycie każdego leku, nawet witaminy, z lekarzem prowadzącym ciążę.</w:t>
      </w:r>
    </w:p>
    <w:p w:rsidR="00513F86" w:rsidRDefault="00513F86" w:rsidP="00513F86">
      <w:pPr>
        <w:pStyle w:val="NormalnyWeb"/>
        <w:shd w:val="clear" w:color="auto" w:fill="FFFFFF"/>
        <w:spacing w:before="0" w:beforeAutospacing="0" w:after="360" w:afterAutospacing="0"/>
        <w:jc w:val="both"/>
        <w:rPr>
          <w:rFonts w:ascii="Segoe UI" w:hAnsi="Segoe UI" w:cs="Segoe UI"/>
          <w:color w:val="222222"/>
          <w:sz w:val="21"/>
          <w:szCs w:val="21"/>
        </w:rPr>
      </w:pPr>
      <w:r>
        <w:rPr>
          <w:rStyle w:val="Pogrubienie"/>
          <w:rFonts w:ascii="Segoe UI" w:hAnsi="Segoe UI" w:cs="Segoe UI"/>
          <w:color w:val="222222"/>
          <w:sz w:val="21"/>
          <w:szCs w:val="21"/>
        </w:rPr>
        <w:t>Czynnikiem zagrażającym prawidłowemu rozwojowi dziecka</w:t>
      </w:r>
      <w:r>
        <w:rPr>
          <w:rFonts w:ascii="Segoe UI" w:hAnsi="Segoe UI" w:cs="Segoe UI"/>
          <w:color w:val="222222"/>
          <w:sz w:val="21"/>
          <w:szCs w:val="21"/>
        </w:rPr>
        <w:t> jest także wypijany przez matkę alkohol, który może prowadzić do niedorozwoju ośrodkowego układu nerwowego dziecka oraz długotrwały stres, który przeżywa matka, a który powoduje zaciskanie naczyń krwionośnych, co utrudnia dostarczanie odpowiednich ilości tlenu do komórek matki i dziecka. </w:t>
      </w:r>
      <w:r>
        <w:rPr>
          <w:rStyle w:val="Pogrubienie"/>
          <w:rFonts w:ascii="Segoe UI" w:hAnsi="Segoe UI" w:cs="Segoe UI"/>
          <w:color w:val="222222"/>
          <w:sz w:val="21"/>
          <w:szCs w:val="21"/>
        </w:rPr>
        <w:t>Niedotlenienie</w:t>
      </w:r>
      <w:r>
        <w:rPr>
          <w:rFonts w:ascii="Segoe UI" w:hAnsi="Segoe UI" w:cs="Segoe UI"/>
          <w:color w:val="222222"/>
          <w:sz w:val="21"/>
          <w:szCs w:val="21"/>
        </w:rPr>
        <w:t> bywa przyczyną wielu zaburzeń rozwoju od niewielkich po bardzo poważne.</w:t>
      </w:r>
    </w:p>
    <w:p w:rsidR="00513F86" w:rsidRDefault="00513F86" w:rsidP="00513F86">
      <w:pPr>
        <w:pStyle w:val="NormalnyWeb"/>
        <w:shd w:val="clear" w:color="auto" w:fill="FFFFFF"/>
        <w:spacing w:before="0" w:beforeAutospacing="0" w:after="360" w:afterAutospacing="0"/>
        <w:jc w:val="both"/>
        <w:rPr>
          <w:rFonts w:ascii="Segoe UI" w:hAnsi="Segoe UI" w:cs="Segoe UI"/>
          <w:color w:val="222222"/>
          <w:sz w:val="21"/>
          <w:szCs w:val="21"/>
        </w:rPr>
      </w:pPr>
      <w:r>
        <w:rPr>
          <w:rFonts w:ascii="Segoe UI" w:hAnsi="Segoe UI" w:cs="Segoe UI"/>
          <w:color w:val="222222"/>
          <w:sz w:val="21"/>
          <w:szCs w:val="21"/>
        </w:rPr>
        <w:t>O odpowiednią ilość tlenu dla dziecka można zadbać też w czasie porodu. I nie chodzi tylko o prawidłowe oddychanie rodzącej. Jeśli poród naturalny przeciąga się, warto go zakończyć cesarskim cięciem ze względu na ryzyko niedotlenienia dziecka. Dobrze jest też przeciąć pępowinę już po ustaniu w niej tętna, gdyż po urodzeniu matka może przekazać dziecku jeszcze pół litra krwi, co pomaga dotlenić maleństwo.</w:t>
      </w:r>
    </w:p>
    <w:p w:rsidR="00513F86" w:rsidRDefault="00513F86" w:rsidP="00513F86">
      <w:pPr>
        <w:pStyle w:val="NormalnyWeb"/>
        <w:shd w:val="clear" w:color="auto" w:fill="FFFFFF"/>
        <w:spacing w:before="0" w:beforeAutospacing="0" w:after="360" w:afterAutospacing="0"/>
        <w:jc w:val="both"/>
        <w:rPr>
          <w:rFonts w:ascii="Segoe UI" w:hAnsi="Segoe UI" w:cs="Segoe UI"/>
          <w:color w:val="222222"/>
          <w:sz w:val="21"/>
          <w:szCs w:val="21"/>
        </w:rPr>
      </w:pPr>
      <w:r>
        <w:rPr>
          <w:rFonts w:ascii="Segoe UI" w:hAnsi="Segoe UI" w:cs="Segoe UI"/>
          <w:color w:val="222222"/>
          <w:sz w:val="21"/>
          <w:szCs w:val="21"/>
        </w:rPr>
        <w:t xml:space="preserve">Dla rozwoju mowy istotna jest także długość porodu, zwłaszcza drugiej fazy – jeśli dziecko przechodzi przez kanał rodny zbyt szybko, jego skóra może nie otrzymać odpowiedniej ilości bodźców </w:t>
      </w:r>
      <w:proofErr w:type="spellStart"/>
      <w:r>
        <w:rPr>
          <w:rFonts w:ascii="Segoe UI" w:hAnsi="Segoe UI" w:cs="Segoe UI"/>
          <w:color w:val="222222"/>
          <w:sz w:val="21"/>
          <w:szCs w:val="21"/>
        </w:rPr>
        <w:t>odwrażliwiających</w:t>
      </w:r>
      <w:proofErr w:type="spellEnd"/>
      <w:r>
        <w:rPr>
          <w:rFonts w:ascii="Segoe UI" w:hAnsi="Segoe UI" w:cs="Segoe UI"/>
          <w:color w:val="222222"/>
          <w:sz w:val="21"/>
          <w:szCs w:val="21"/>
        </w:rPr>
        <w:t xml:space="preserve">, a mięśnie nie zdążą wykonać odpowiednio dużej pracy, co może </w:t>
      </w:r>
      <w:r>
        <w:rPr>
          <w:rFonts w:ascii="Segoe UI" w:hAnsi="Segoe UI" w:cs="Segoe UI"/>
          <w:color w:val="222222"/>
          <w:sz w:val="21"/>
          <w:szCs w:val="21"/>
        </w:rPr>
        <w:lastRenderedPageBreak/>
        <w:t>skutkować </w:t>
      </w:r>
      <w:r>
        <w:rPr>
          <w:rStyle w:val="Pogrubienie"/>
          <w:rFonts w:ascii="Segoe UI" w:hAnsi="Segoe UI" w:cs="Segoe UI"/>
          <w:color w:val="222222"/>
          <w:sz w:val="21"/>
          <w:szCs w:val="21"/>
        </w:rPr>
        <w:t>obniżonym napięciem mięśniowym</w:t>
      </w:r>
      <w:r>
        <w:rPr>
          <w:rFonts w:ascii="Segoe UI" w:hAnsi="Segoe UI" w:cs="Segoe UI"/>
          <w:color w:val="222222"/>
          <w:sz w:val="21"/>
          <w:szCs w:val="21"/>
        </w:rPr>
        <w:t>. Nadwrażliwość w obrębie twarzy i zbyt słabe napięcie mięśni utrudniają naukę mowy.</w:t>
      </w:r>
    </w:p>
    <w:p w:rsidR="00513F86" w:rsidRDefault="00513F86" w:rsidP="00513F86">
      <w:pPr>
        <w:pStyle w:val="NormalnyWeb"/>
        <w:shd w:val="clear" w:color="auto" w:fill="FFFFFF"/>
        <w:spacing w:before="0" w:beforeAutospacing="0" w:after="360" w:afterAutospacing="0"/>
        <w:rPr>
          <w:rFonts w:ascii="Segoe UI" w:hAnsi="Segoe UI" w:cs="Segoe UI"/>
          <w:color w:val="222222"/>
          <w:sz w:val="21"/>
          <w:szCs w:val="21"/>
        </w:rPr>
      </w:pPr>
      <w:r>
        <w:rPr>
          <w:rStyle w:val="Pogrubienie"/>
          <w:rFonts w:ascii="Segoe UI" w:hAnsi="Segoe UI" w:cs="Segoe UI"/>
          <w:color w:val="222222"/>
          <w:sz w:val="21"/>
          <w:szCs w:val="21"/>
        </w:rPr>
        <w:t>Po porodzie</w:t>
      </w:r>
    </w:p>
    <w:p w:rsidR="00513F86" w:rsidRDefault="00513F86" w:rsidP="00513F86">
      <w:pPr>
        <w:pStyle w:val="NormalnyWeb"/>
        <w:shd w:val="clear" w:color="auto" w:fill="FFFFFF"/>
        <w:spacing w:before="0" w:beforeAutospacing="0" w:after="360" w:afterAutospacing="0"/>
        <w:jc w:val="both"/>
        <w:rPr>
          <w:rFonts w:ascii="Segoe UI" w:hAnsi="Segoe UI" w:cs="Segoe UI"/>
          <w:color w:val="222222"/>
          <w:sz w:val="21"/>
          <w:szCs w:val="21"/>
        </w:rPr>
      </w:pPr>
      <w:r>
        <w:rPr>
          <w:rFonts w:ascii="Segoe UI" w:hAnsi="Segoe UI" w:cs="Segoe UI"/>
          <w:color w:val="222222"/>
          <w:sz w:val="21"/>
          <w:szCs w:val="21"/>
        </w:rPr>
        <w:t>Najwłaściwszym sposobem </w:t>
      </w:r>
      <w:r>
        <w:rPr>
          <w:rStyle w:val="Pogrubienie"/>
          <w:rFonts w:ascii="Segoe UI" w:hAnsi="Segoe UI" w:cs="Segoe UI"/>
          <w:color w:val="222222"/>
          <w:sz w:val="21"/>
          <w:szCs w:val="21"/>
        </w:rPr>
        <w:t>karmienia noworodka</w:t>
      </w:r>
      <w:r>
        <w:rPr>
          <w:rFonts w:ascii="Segoe UI" w:hAnsi="Segoe UI" w:cs="Segoe UI"/>
          <w:color w:val="222222"/>
          <w:sz w:val="21"/>
          <w:szCs w:val="21"/>
        </w:rPr>
        <w:t>, a później </w:t>
      </w:r>
      <w:r>
        <w:rPr>
          <w:rStyle w:val="Pogrubienie"/>
          <w:rFonts w:ascii="Segoe UI" w:hAnsi="Segoe UI" w:cs="Segoe UI"/>
          <w:color w:val="222222"/>
          <w:sz w:val="21"/>
          <w:szCs w:val="21"/>
        </w:rPr>
        <w:t>niemowlęcia</w:t>
      </w:r>
      <w:r>
        <w:rPr>
          <w:rFonts w:ascii="Segoe UI" w:hAnsi="Segoe UI" w:cs="Segoe UI"/>
          <w:color w:val="222222"/>
          <w:sz w:val="21"/>
          <w:szCs w:val="21"/>
        </w:rPr>
        <w:t> wydaje się (z punktu widzenia logopedy) </w:t>
      </w:r>
      <w:r>
        <w:rPr>
          <w:rStyle w:val="Pogrubienie"/>
          <w:rFonts w:ascii="Segoe UI" w:hAnsi="Segoe UI" w:cs="Segoe UI"/>
          <w:color w:val="222222"/>
          <w:sz w:val="21"/>
          <w:szCs w:val="21"/>
        </w:rPr>
        <w:t>karmienie piersią</w:t>
      </w:r>
      <w:r>
        <w:rPr>
          <w:rFonts w:ascii="Segoe UI" w:hAnsi="Segoe UI" w:cs="Segoe UI"/>
          <w:color w:val="222222"/>
          <w:sz w:val="21"/>
          <w:szCs w:val="21"/>
        </w:rPr>
        <w:t xml:space="preserve">. Jest ono trudniejsze dla dziecka niż picie z butelki, a zatem wymaga więcej pracy i służy ćwiczeniu mięśni odpowiedzialnych za mowę (mięśni warg, języka, policzków, żuchwy). Odruch ssania u noworodka jest najbardziej wygórowany do 2 godzin po porodzie, a potem słabnie, więc karmienie piersią warto zacząć jak najwcześniej. Zaletą karmienia piersią jest także to, że dzięki niemu wyrównuje się naturalne u noworodków </w:t>
      </w:r>
      <w:proofErr w:type="spellStart"/>
      <w:r>
        <w:rPr>
          <w:rFonts w:ascii="Segoe UI" w:hAnsi="Segoe UI" w:cs="Segoe UI"/>
          <w:color w:val="222222"/>
          <w:sz w:val="21"/>
          <w:szCs w:val="21"/>
        </w:rPr>
        <w:t>tyłożuchwie</w:t>
      </w:r>
      <w:proofErr w:type="spellEnd"/>
      <w:r>
        <w:rPr>
          <w:rFonts w:ascii="Segoe UI" w:hAnsi="Segoe UI" w:cs="Segoe UI"/>
          <w:color w:val="222222"/>
          <w:sz w:val="21"/>
          <w:szCs w:val="21"/>
        </w:rPr>
        <w:t xml:space="preserve">, które może z czasem stać się </w:t>
      </w:r>
      <w:proofErr w:type="spellStart"/>
      <w:r>
        <w:rPr>
          <w:rFonts w:ascii="Segoe UI" w:hAnsi="Segoe UI" w:cs="Segoe UI"/>
          <w:color w:val="222222"/>
          <w:sz w:val="21"/>
          <w:szCs w:val="21"/>
        </w:rPr>
        <w:t>tyłozgryzem</w:t>
      </w:r>
      <w:proofErr w:type="spellEnd"/>
      <w:r>
        <w:rPr>
          <w:rFonts w:ascii="Segoe UI" w:hAnsi="Segoe UI" w:cs="Segoe UI"/>
          <w:color w:val="222222"/>
          <w:sz w:val="21"/>
          <w:szCs w:val="21"/>
        </w:rPr>
        <w:t>, utrudniającym prawidłową wymowę. Jeśli nasz maluch ma </w:t>
      </w:r>
      <w:r>
        <w:rPr>
          <w:rStyle w:val="Pogrubienie"/>
          <w:rFonts w:ascii="Segoe UI" w:hAnsi="Segoe UI" w:cs="Segoe UI"/>
          <w:color w:val="222222"/>
          <w:sz w:val="21"/>
          <w:szCs w:val="21"/>
        </w:rPr>
        <w:t>skrócone wędzidełko podjęzykowe</w:t>
      </w:r>
      <w:r>
        <w:rPr>
          <w:rFonts w:ascii="Segoe UI" w:hAnsi="Segoe UI" w:cs="Segoe UI"/>
          <w:color w:val="222222"/>
          <w:sz w:val="21"/>
          <w:szCs w:val="21"/>
        </w:rPr>
        <w:t>, najlepiej podciąć je po pierwszym karmieniu – ssąc pierś, dziecko zapobiegnie zrostowi w miejscu podcięcia i będzie mogło </w:t>
      </w:r>
      <w:r>
        <w:rPr>
          <w:rStyle w:val="Pogrubienie"/>
          <w:rFonts w:ascii="Segoe UI" w:hAnsi="Segoe UI" w:cs="Segoe UI"/>
          <w:color w:val="222222"/>
          <w:sz w:val="21"/>
          <w:szCs w:val="21"/>
        </w:rPr>
        <w:t>ćwiczyć język</w:t>
      </w:r>
      <w:r>
        <w:rPr>
          <w:rFonts w:ascii="Segoe UI" w:hAnsi="Segoe UI" w:cs="Segoe UI"/>
          <w:color w:val="222222"/>
          <w:sz w:val="21"/>
          <w:szCs w:val="21"/>
        </w:rPr>
        <w:t>.</w:t>
      </w:r>
    </w:p>
    <w:p w:rsidR="00513F86" w:rsidRDefault="00513F86" w:rsidP="00513F86">
      <w:pPr>
        <w:pStyle w:val="NormalnyWeb"/>
        <w:shd w:val="clear" w:color="auto" w:fill="FFFFFF"/>
        <w:spacing w:before="0" w:beforeAutospacing="0" w:after="360" w:afterAutospacing="0"/>
        <w:jc w:val="both"/>
        <w:rPr>
          <w:rFonts w:ascii="Segoe UI" w:hAnsi="Segoe UI" w:cs="Segoe UI"/>
          <w:color w:val="222222"/>
          <w:sz w:val="21"/>
          <w:szCs w:val="21"/>
        </w:rPr>
      </w:pPr>
      <w:r>
        <w:rPr>
          <w:rFonts w:ascii="Segoe UI" w:hAnsi="Segoe UI" w:cs="Segoe UI"/>
          <w:color w:val="222222"/>
          <w:sz w:val="21"/>
          <w:szCs w:val="21"/>
        </w:rPr>
        <w:t xml:space="preserve">Oczywiście karmienie butelką nie oznacza, że dziecko będzie z góry skazane na wady wymowy. Ponieważ w życiu są różne sytuacje, każda mama powinna sama zdecydować, który sposób karmienia jest lepszy dla niej i jej dziecka. Jeśli kobieta zdecyduje się na karmienie butelką, najlepiej byłoby wybrać smoczek miękki, przypominający kształtem pierś mamy. Gdyby natomiast mama chciała karmić piersią, a chwilowo z różnych przyczyn nie mogła, nie musi przyzwyczajać dziecka do butelki. Są dostępne na rynku tzw. kieliszki do karmienia (np. firmy </w:t>
      </w:r>
      <w:proofErr w:type="spellStart"/>
      <w:r>
        <w:rPr>
          <w:rFonts w:ascii="Segoe UI" w:hAnsi="Segoe UI" w:cs="Segoe UI"/>
          <w:color w:val="222222"/>
          <w:sz w:val="21"/>
          <w:szCs w:val="21"/>
        </w:rPr>
        <w:t>Medela</w:t>
      </w:r>
      <w:proofErr w:type="spellEnd"/>
      <w:r>
        <w:rPr>
          <w:rFonts w:ascii="Segoe UI" w:hAnsi="Segoe UI" w:cs="Segoe UI"/>
          <w:color w:val="222222"/>
          <w:sz w:val="21"/>
          <w:szCs w:val="21"/>
        </w:rPr>
        <w:t>), z których można karmić noworodka, nie zaburzając </w:t>
      </w:r>
      <w:r>
        <w:rPr>
          <w:rStyle w:val="Pogrubienie"/>
          <w:rFonts w:ascii="Segoe UI" w:hAnsi="Segoe UI" w:cs="Segoe UI"/>
          <w:color w:val="222222"/>
          <w:sz w:val="21"/>
          <w:szCs w:val="21"/>
        </w:rPr>
        <w:t>laktacji</w:t>
      </w:r>
      <w:r>
        <w:rPr>
          <w:rFonts w:ascii="Segoe UI" w:hAnsi="Segoe UI" w:cs="Segoe UI"/>
          <w:color w:val="222222"/>
          <w:sz w:val="21"/>
          <w:szCs w:val="21"/>
        </w:rPr>
        <w:t>.</w:t>
      </w:r>
    </w:p>
    <w:p w:rsidR="00513F86" w:rsidRDefault="00513F86" w:rsidP="00513F86">
      <w:pPr>
        <w:pStyle w:val="NormalnyWeb"/>
        <w:shd w:val="clear" w:color="auto" w:fill="FFFFFF"/>
        <w:spacing w:before="0" w:beforeAutospacing="0" w:after="360" w:afterAutospacing="0"/>
        <w:jc w:val="both"/>
        <w:rPr>
          <w:rFonts w:ascii="Segoe UI" w:hAnsi="Segoe UI" w:cs="Segoe UI"/>
          <w:color w:val="222222"/>
          <w:sz w:val="21"/>
          <w:szCs w:val="21"/>
        </w:rPr>
      </w:pPr>
      <w:r>
        <w:rPr>
          <w:rFonts w:ascii="Segoe UI" w:hAnsi="Segoe UI" w:cs="Segoe UI"/>
          <w:color w:val="222222"/>
          <w:sz w:val="21"/>
          <w:szCs w:val="21"/>
        </w:rPr>
        <w:t>Podawanie dziecku </w:t>
      </w:r>
      <w:r>
        <w:rPr>
          <w:rStyle w:val="Pogrubienie"/>
          <w:rFonts w:ascii="Segoe UI" w:hAnsi="Segoe UI" w:cs="Segoe UI"/>
          <w:color w:val="222222"/>
          <w:sz w:val="21"/>
          <w:szCs w:val="21"/>
        </w:rPr>
        <w:t>smoczka</w:t>
      </w:r>
      <w:r>
        <w:rPr>
          <w:rFonts w:ascii="Segoe UI" w:hAnsi="Segoe UI" w:cs="Segoe UI"/>
          <w:color w:val="222222"/>
          <w:sz w:val="21"/>
          <w:szCs w:val="21"/>
        </w:rPr>
        <w:t> – „uspokajacza” może doprowadzić do powstania w przyszłości </w:t>
      </w:r>
      <w:r>
        <w:rPr>
          <w:rStyle w:val="Pogrubienie"/>
          <w:rFonts w:ascii="Segoe UI" w:hAnsi="Segoe UI" w:cs="Segoe UI"/>
          <w:color w:val="222222"/>
          <w:sz w:val="21"/>
          <w:szCs w:val="21"/>
        </w:rPr>
        <w:t>wad zgryzu</w:t>
      </w:r>
      <w:r>
        <w:rPr>
          <w:rFonts w:ascii="Segoe UI" w:hAnsi="Segoe UI" w:cs="Segoe UI"/>
          <w:color w:val="222222"/>
          <w:sz w:val="21"/>
          <w:szCs w:val="21"/>
        </w:rPr>
        <w:t>, zwłaszcza gdy dziecko używa go zbyt długo. Dla dobra dziecka warto więc odstawić smoczek, zanim pojawią się zęby, a najpóźniej do 2. roku życiu. Bywa jednak, że smoczek jest tzw. mniejszym złem, np. w sytuacji, gdy dziecko zaczyna ssać kciuk. Warto wtedy podawać smoczek i próbować w ten sposób wyeliminować zagrożenie ssania palca, od którego potem bardzo trudno malucha odzwyczaić. Gdy zatem podanie smoczka wydaje się nam konieczne, warto wybrać smoczek ukośnie ścięty, który wymusi prawidłowe ułożenie języka w buzi dziecka (u góry) i stworzy okazję do ćwiczeń tego mięśnia.</w:t>
      </w:r>
    </w:p>
    <w:p w:rsidR="00513F86" w:rsidRDefault="00513F86" w:rsidP="00513F86">
      <w:pPr>
        <w:pStyle w:val="NormalnyWeb"/>
        <w:shd w:val="clear" w:color="auto" w:fill="FFFFFF"/>
        <w:spacing w:before="0" w:beforeAutospacing="0" w:after="360" w:afterAutospacing="0"/>
        <w:jc w:val="both"/>
        <w:rPr>
          <w:rFonts w:ascii="Segoe UI" w:hAnsi="Segoe UI" w:cs="Segoe UI"/>
          <w:color w:val="222222"/>
          <w:sz w:val="21"/>
          <w:szCs w:val="21"/>
        </w:rPr>
      </w:pPr>
      <w:r>
        <w:rPr>
          <w:rFonts w:ascii="Segoe UI" w:hAnsi="Segoe UI" w:cs="Segoe UI"/>
          <w:color w:val="222222"/>
          <w:sz w:val="21"/>
          <w:szCs w:val="21"/>
        </w:rPr>
        <w:t>Bardzo ważne w nauce mowy jest wkładanie paluszków do buzi. Dzięki temu dziecko poznaje swoje ciało, odczula (jeśli jest jakaś nadwrażliwość w tej okolicy) oraz przesuwa granicę odruchu wymiotnego, dzięki czemu nie będzie miało w przyszłości problemów z jedzeniem i będzie sprawnie posługiwało się narządami wymowy.</w:t>
      </w:r>
    </w:p>
    <w:p w:rsidR="00513F86" w:rsidRDefault="00513F86" w:rsidP="00513F86">
      <w:pPr>
        <w:pStyle w:val="NormalnyWeb"/>
        <w:shd w:val="clear" w:color="auto" w:fill="FFFFFF"/>
        <w:spacing w:before="0" w:beforeAutospacing="0" w:after="360" w:afterAutospacing="0"/>
        <w:jc w:val="both"/>
        <w:rPr>
          <w:rFonts w:ascii="Segoe UI" w:hAnsi="Segoe UI" w:cs="Segoe UI"/>
          <w:color w:val="222222"/>
          <w:sz w:val="21"/>
          <w:szCs w:val="21"/>
        </w:rPr>
      </w:pPr>
      <w:r>
        <w:rPr>
          <w:rFonts w:ascii="Segoe UI" w:hAnsi="Segoe UI" w:cs="Segoe UI"/>
          <w:color w:val="222222"/>
          <w:sz w:val="21"/>
          <w:szCs w:val="21"/>
        </w:rPr>
        <w:t>Ponieważ od tego, jak sprawnie nasze dziecko je i pije, zależy jego wymowa, należy zadbać, by zdobywało odpowiednie doświadczenia w tym zakresie. Nie trzeba zwlekać z rozpoczęciem karmienia łyżeczką, proponowania picia z kubeczka, a następnie nauki odgryzania kęsów. Gdy dziecko samodzielnie siedzi i ma już kilka ząbków, możemy zacząć </w:t>
      </w:r>
      <w:r>
        <w:rPr>
          <w:rStyle w:val="Pogrubienie"/>
          <w:rFonts w:ascii="Segoe UI" w:hAnsi="Segoe UI" w:cs="Segoe UI"/>
          <w:color w:val="222222"/>
          <w:sz w:val="21"/>
          <w:szCs w:val="21"/>
        </w:rPr>
        <w:t>naukę „dorosłego” sposobu jedzenia</w:t>
      </w:r>
      <w:r>
        <w:rPr>
          <w:rFonts w:ascii="Segoe UI" w:hAnsi="Segoe UI" w:cs="Segoe UI"/>
          <w:color w:val="222222"/>
          <w:sz w:val="21"/>
          <w:szCs w:val="21"/>
        </w:rPr>
        <w:t>. </w:t>
      </w:r>
    </w:p>
    <w:p w:rsidR="00513F86" w:rsidRDefault="00513F86" w:rsidP="00513F86">
      <w:pPr>
        <w:pStyle w:val="NormalnyWeb"/>
        <w:shd w:val="clear" w:color="auto" w:fill="FFFFFF"/>
        <w:spacing w:before="0" w:beforeAutospacing="0" w:after="360" w:afterAutospacing="0"/>
        <w:jc w:val="both"/>
        <w:rPr>
          <w:rFonts w:ascii="Segoe UI" w:hAnsi="Segoe UI" w:cs="Segoe UI"/>
          <w:color w:val="222222"/>
          <w:sz w:val="21"/>
          <w:szCs w:val="21"/>
        </w:rPr>
      </w:pPr>
      <w:r>
        <w:rPr>
          <w:rFonts w:ascii="Segoe UI" w:hAnsi="Segoe UI" w:cs="Segoe UI"/>
          <w:color w:val="222222"/>
          <w:sz w:val="21"/>
          <w:szCs w:val="21"/>
        </w:rPr>
        <w:t xml:space="preserve">Ponieważ mowa dziecka rozwija się na przemian z ruchem, należy zadbać o prawidłowy rozwój ruchowy maluszka, zwłaszcza jeśli widzimy, że później niż rówieśnicy zdobywa kolejne umiejętności </w:t>
      </w:r>
      <w:proofErr w:type="spellStart"/>
      <w:r>
        <w:rPr>
          <w:rFonts w:ascii="Segoe UI" w:hAnsi="Segoe UI" w:cs="Segoe UI"/>
          <w:color w:val="222222"/>
          <w:sz w:val="21"/>
          <w:szCs w:val="21"/>
        </w:rPr>
        <w:t>t.j</w:t>
      </w:r>
      <w:proofErr w:type="spellEnd"/>
      <w:r>
        <w:rPr>
          <w:rFonts w:ascii="Segoe UI" w:hAnsi="Segoe UI" w:cs="Segoe UI"/>
          <w:color w:val="222222"/>
          <w:sz w:val="21"/>
          <w:szCs w:val="21"/>
        </w:rPr>
        <w:t>. pełzanie, siadanie, raczkowanie itd.</w:t>
      </w:r>
    </w:p>
    <w:p w:rsidR="00513F86" w:rsidRDefault="00513F86" w:rsidP="00513F86">
      <w:pPr>
        <w:pStyle w:val="NormalnyWeb"/>
        <w:shd w:val="clear" w:color="auto" w:fill="FFFFFF"/>
        <w:spacing w:before="0" w:beforeAutospacing="0" w:after="360" w:afterAutospacing="0"/>
        <w:rPr>
          <w:rFonts w:ascii="Segoe UI" w:hAnsi="Segoe UI" w:cs="Segoe UI"/>
          <w:color w:val="222222"/>
          <w:sz w:val="21"/>
          <w:szCs w:val="21"/>
        </w:rPr>
      </w:pPr>
      <w:r>
        <w:rPr>
          <w:rStyle w:val="Pogrubienie"/>
          <w:rFonts w:ascii="Segoe UI" w:hAnsi="Segoe UI" w:cs="Segoe UI"/>
          <w:color w:val="222222"/>
          <w:sz w:val="21"/>
          <w:szCs w:val="21"/>
        </w:rPr>
        <w:lastRenderedPageBreak/>
        <w:t>Starsze dzieci</w:t>
      </w:r>
    </w:p>
    <w:p w:rsidR="00513F86" w:rsidRDefault="00513F86" w:rsidP="00513F86">
      <w:pPr>
        <w:pStyle w:val="NormalnyWeb"/>
        <w:shd w:val="clear" w:color="auto" w:fill="FFFFFF"/>
        <w:spacing w:before="0" w:beforeAutospacing="0" w:after="360" w:afterAutospacing="0"/>
        <w:jc w:val="both"/>
        <w:rPr>
          <w:rFonts w:ascii="Segoe UI" w:hAnsi="Segoe UI" w:cs="Segoe UI"/>
          <w:color w:val="222222"/>
          <w:sz w:val="21"/>
          <w:szCs w:val="21"/>
        </w:rPr>
      </w:pPr>
      <w:r>
        <w:rPr>
          <w:rStyle w:val="Pogrubienie"/>
          <w:rFonts w:ascii="Segoe UI" w:hAnsi="Segoe UI" w:cs="Segoe UI"/>
          <w:color w:val="222222"/>
          <w:sz w:val="21"/>
          <w:szCs w:val="21"/>
        </w:rPr>
        <w:t>Wady wymowy</w:t>
      </w:r>
      <w:r>
        <w:rPr>
          <w:rFonts w:ascii="Segoe UI" w:hAnsi="Segoe UI" w:cs="Segoe UI"/>
          <w:color w:val="222222"/>
          <w:sz w:val="21"/>
          <w:szCs w:val="21"/>
        </w:rPr>
        <w:t> bywają często skutkiem </w:t>
      </w:r>
      <w:r>
        <w:rPr>
          <w:rStyle w:val="Pogrubienie"/>
          <w:rFonts w:ascii="Segoe UI" w:hAnsi="Segoe UI" w:cs="Segoe UI"/>
          <w:color w:val="222222"/>
          <w:sz w:val="21"/>
          <w:szCs w:val="21"/>
        </w:rPr>
        <w:t>wad zgryzu</w:t>
      </w:r>
      <w:r>
        <w:rPr>
          <w:rFonts w:ascii="Segoe UI" w:hAnsi="Segoe UI" w:cs="Segoe UI"/>
          <w:color w:val="222222"/>
          <w:sz w:val="21"/>
          <w:szCs w:val="21"/>
        </w:rPr>
        <w:t xml:space="preserve">. Najczęstszymi z nich są </w:t>
      </w:r>
      <w:proofErr w:type="spellStart"/>
      <w:r>
        <w:rPr>
          <w:rFonts w:ascii="Segoe UI" w:hAnsi="Segoe UI" w:cs="Segoe UI"/>
          <w:color w:val="222222"/>
          <w:sz w:val="21"/>
          <w:szCs w:val="21"/>
        </w:rPr>
        <w:t>tyłozgryz</w:t>
      </w:r>
      <w:proofErr w:type="spellEnd"/>
      <w:r>
        <w:rPr>
          <w:rFonts w:ascii="Segoe UI" w:hAnsi="Segoe UI" w:cs="Segoe UI"/>
          <w:color w:val="222222"/>
          <w:sz w:val="21"/>
          <w:szCs w:val="21"/>
        </w:rPr>
        <w:t xml:space="preserve"> (gdy żuchwa jest cofnięta) i przodozgryz (gdy żuchwa jest wysunięta do przodu). Zdarza się, że do tych wad zgryzu prowadzi spanie na niewłaściwie dobranej poduszce – gdy jest ona za niska, może pojawić się </w:t>
      </w:r>
      <w:r>
        <w:rPr>
          <w:rFonts w:ascii="Segoe UI" w:hAnsi="Segoe UI" w:cs="Segoe UI"/>
          <w:color w:val="222222"/>
          <w:sz w:val="21"/>
          <w:szCs w:val="21"/>
        </w:rPr>
        <w:t>tyło zgryz</w:t>
      </w:r>
      <w:r>
        <w:rPr>
          <w:rFonts w:ascii="Segoe UI" w:hAnsi="Segoe UI" w:cs="Segoe UI"/>
          <w:color w:val="222222"/>
          <w:sz w:val="21"/>
          <w:szCs w:val="21"/>
        </w:rPr>
        <w:t>, a gdy za wysoka – przodozgryz.</w:t>
      </w:r>
    </w:p>
    <w:p w:rsidR="00513F86" w:rsidRDefault="00513F86" w:rsidP="00513F86">
      <w:pPr>
        <w:pStyle w:val="NormalnyWeb"/>
        <w:shd w:val="clear" w:color="auto" w:fill="FFFFFF"/>
        <w:spacing w:before="0" w:beforeAutospacing="0" w:after="360" w:afterAutospacing="0"/>
        <w:jc w:val="both"/>
        <w:rPr>
          <w:rFonts w:ascii="Segoe UI" w:hAnsi="Segoe UI" w:cs="Segoe UI"/>
          <w:color w:val="222222"/>
          <w:sz w:val="21"/>
          <w:szCs w:val="21"/>
        </w:rPr>
      </w:pPr>
      <w:r>
        <w:rPr>
          <w:rFonts w:ascii="Segoe UI" w:hAnsi="Segoe UI" w:cs="Segoe UI"/>
          <w:color w:val="222222"/>
          <w:sz w:val="21"/>
          <w:szCs w:val="21"/>
        </w:rPr>
        <w:t>Jedną z bardzo powszechnych wad wymowy jest </w:t>
      </w:r>
      <w:r>
        <w:rPr>
          <w:rStyle w:val="Pogrubienie"/>
          <w:rFonts w:ascii="Segoe UI" w:hAnsi="Segoe UI" w:cs="Segoe UI"/>
          <w:color w:val="222222"/>
          <w:sz w:val="21"/>
          <w:szCs w:val="21"/>
        </w:rPr>
        <w:t xml:space="preserve">seplenienie </w:t>
      </w:r>
      <w:proofErr w:type="spellStart"/>
      <w:r>
        <w:rPr>
          <w:rStyle w:val="Pogrubienie"/>
          <w:rFonts w:ascii="Segoe UI" w:hAnsi="Segoe UI" w:cs="Segoe UI"/>
          <w:color w:val="222222"/>
          <w:sz w:val="21"/>
          <w:szCs w:val="21"/>
        </w:rPr>
        <w:t>międzyzębowe</w:t>
      </w:r>
      <w:proofErr w:type="spellEnd"/>
      <w:r>
        <w:rPr>
          <w:rFonts w:ascii="Segoe UI" w:hAnsi="Segoe UI" w:cs="Segoe UI"/>
          <w:color w:val="222222"/>
          <w:sz w:val="21"/>
          <w:szCs w:val="21"/>
        </w:rPr>
        <w:t>. Istnieje wiele przyczyn tej wady wymowy, a jedną z nich jest używanie popularnych </w:t>
      </w:r>
      <w:r>
        <w:rPr>
          <w:rStyle w:val="Pogrubienie"/>
          <w:rFonts w:ascii="Segoe UI" w:hAnsi="Segoe UI" w:cs="Segoe UI"/>
          <w:color w:val="222222"/>
          <w:sz w:val="21"/>
          <w:szCs w:val="21"/>
        </w:rPr>
        <w:t>kubków – „niekapków”</w:t>
      </w:r>
      <w:r>
        <w:rPr>
          <w:rFonts w:ascii="Segoe UI" w:hAnsi="Segoe UI" w:cs="Segoe UI"/>
          <w:color w:val="222222"/>
          <w:sz w:val="21"/>
          <w:szCs w:val="21"/>
        </w:rPr>
        <w:t> z wystającym dzióbkiem. Picie z takiego dzióbka przypomina picie z butelki ze smoczkiem – język jest płasko ułożony w buzi, nie musi się unosić ani mocno pracować podczas picia, więc staje się słabszy, a następnie zaczyna się wysuwać z buzi. Alternatywą dla kubków – „niekapków” są </w:t>
      </w:r>
      <w:r>
        <w:rPr>
          <w:rStyle w:val="Pogrubienie"/>
          <w:rFonts w:ascii="Segoe UI" w:hAnsi="Segoe UI" w:cs="Segoe UI"/>
          <w:color w:val="222222"/>
          <w:sz w:val="21"/>
          <w:szCs w:val="21"/>
        </w:rPr>
        <w:t>kubki „360 stopni”</w:t>
      </w:r>
      <w:r>
        <w:rPr>
          <w:rFonts w:ascii="Segoe UI" w:hAnsi="Segoe UI" w:cs="Segoe UI"/>
          <w:color w:val="222222"/>
          <w:sz w:val="21"/>
          <w:szCs w:val="21"/>
        </w:rPr>
        <w:t> (np. firmy LOVI). Kubki te są tak skonstruowane, że picie z nich wymaga takiej samej pracy jak picie ze szklanki, a dzięki możliwości zassania płynu nic się z nich nie wylewa. </w:t>
      </w:r>
    </w:p>
    <w:p w:rsidR="00513F86" w:rsidRDefault="00513F86" w:rsidP="00513F86">
      <w:pPr>
        <w:pStyle w:val="NormalnyWeb"/>
        <w:shd w:val="clear" w:color="auto" w:fill="FFFFFF"/>
        <w:spacing w:before="0" w:beforeAutospacing="0" w:after="360" w:afterAutospacing="0"/>
        <w:rPr>
          <w:rFonts w:ascii="Segoe UI" w:hAnsi="Segoe UI" w:cs="Segoe UI"/>
          <w:color w:val="222222"/>
          <w:sz w:val="21"/>
          <w:szCs w:val="21"/>
        </w:rPr>
      </w:pPr>
      <w:r>
        <w:rPr>
          <w:rFonts w:ascii="Segoe UI" w:hAnsi="Segoe UI" w:cs="Segoe UI"/>
          <w:color w:val="222222"/>
          <w:sz w:val="21"/>
          <w:szCs w:val="21"/>
        </w:rPr>
        <w:t>Jeżeli zależy nam na prawidłowym rozwoju mowy dziecka, </w:t>
      </w:r>
      <w:r>
        <w:rPr>
          <w:rStyle w:val="Pogrubienie"/>
          <w:rFonts w:ascii="Segoe UI" w:hAnsi="Segoe UI" w:cs="Segoe UI"/>
          <w:color w:val="222222"/>
          <w:sz w:val="21"/>
          <w:szCs w:val="21"/>
        </w:rPr>
        <w:t>ćwiczenia logopedyczne</w:t>
      </w:r>
      <w:r>
        <w:rPr>
          <w:rFonts w:ascii="Segoe UI" w:hAnsi="Segoe UI" w:cs="Segoe UI"/>
          <w:color w:val="222222"/>
          <w:sz w:val="21"/>
          <w:szCs w:val="21"/>
        </w:rPr>
        <w:t> możemy wprowadzać bardzo wcześnie (już kilkumiesięcznym niemowlętom), po prostu zachęcając dziecko do naśladowania min, które mu pokazujemy, wydawania dźwięków, dmuchania np. na piórko czy kawałki delikatnego papieru. Takie zabawy dadzą maleństwu dużo radości, a jednocześnie pomogą lepiej opanować mowę.</w:t>
      </w:r>
    </w:p>
    <w:p w:rsidR="00513F86" w:rsidRDefault="00513F86"/>
    <w:p w:rsidR="00513F86" w:rsidRDefault="00513F86"/>
    <w:p w:rsidR="00513F86" w:rsidRPr="00513F86" w:rsidRDefault="00513F86">
      <w:pPr>
        <w:rPr>
          <w:rFonts w:ascii="Times New Roman" w:hAnsi="Times New Roman" w:cs="Times New Roman"/>
        </w:rPr>
      </w:pPr>
      <w:r w:rsidRPr="00513F86">
        <w:rPr>
          <w:rFonts w:ascii="Times New Roman" w:hAnsi="Times New Roman" w:cs="Times New Roman"/>
        </w:rPr>
        <w:t>Bibliografia:</w:t>
      </w:r>
    </w:p>
    <w:p w:rsidR="00513F86" w:rsidRPr="00513F86" w:rsidRDefault="00513F86" w:rsidP="00513F86">
      <w:pPr>
        <w:numPr>
          <w:ilvl w:val="0"/>
          <w:numId w:val="1"/>
        </w:numPr>
        <w:shd w:val="clear" w:color="auto" w:fill="FFFFFF"/>
        <w:spacing w:after="0" w:line="240" w:lineRule="auto"/>
        <w:rPr>
          <w:rFonts w:ascii="Times New Roman" w:eastAsia="Times New Roman" w:hAnsi="Times New Roman" w:cs="Times New Roman"/>
          <w:color w:val="000000" w:themeColor="text1"/>
          <w:sz w:val="21"/>
          <w:szCs w:val="21"/>
          <w:lang w:eastAsia="pl-PL"/>
        </w:rPr>
      </w:pPr>
      <w:r w:rsidRPr="00513F86">
        <w:rPr>
          <w:rFonts w:ascii="Times New Roman" w:eastAsia="Times New Roman" w:hAnsi="Times New Roman" w:cs="Times New Roman"/>
          <w:color w:val="000000" w:themeColor="text1"/>
          <w:sz w:val="21"/>
          <w:szCs w:val="21"/>
          <w:lang w:eastAsia="pl-PL"/>
        </w:rPr>
        <w:t xml:space="preserve">R. Sprawka, J. </w:t>
      </w:r>
      <w:proofErr w:type="spellStart"/>
      <w:r w:rsidRPr="00513F86">
        <w:rPr>
          <w:rFonts w:ascii="Times New Roman" w:eastAsia="Times New Roman" w:hAnsi="Times New Roman" w:cs="Times New Roman"/>
          <w:color w:val="000000" w:themeColor="text1"/>
          <w:sz w:val="21"/>
          <w:szCs w:val="21"/>
          <w:lang w:eastAsia="pl-PL"/>
        </w:rPr>
        <w:t>Graban</w:t>
      </w:r>
      <w:proofErr w:type="spellEnd"/>
      <w:r w:rsidRPr="00513F86">
        <w:rPr>
          <w:rFonts w:ascii="Times New Roman" w:eastAsia="Times New Roman" w:hAnsi="Times New Roman" w:cs="Times New Roman"/>
          <w:color w:val="000000" w:themeColor="text1"/>
          <w:sz w:val="21"/>
          <w:szCs w:val="21"/>
          <w:lang w:eastAsia="pl-PL"/>
        </w:rPr>
        <w:t>. </w:t>
      </w:r>
      <w:hyperlink r:id="rId5" w:anchor="cid=20580&amp;crid=224858&amp;pid=1320" w:tgtFrame="_blank" w:history="1">
        <w:r w:rsidRPr="00513F86">
          <w:rPr>
            <w:rFonts w:ascii="Times New Roman" w:eastAsia="Times New Roman" w:hAnsi="Times New Roman" w:cs="Times New Roman"/>
            <w:color w:val="000000" w:themeColor="text1"/>
            <w:sz w:val="21"/>
            <w:szCs w:val="21"/>
            <w:lang w:eastAsia="pl-PL"/>
          </w:rPr>
          <w:t>Logopedyczne zabawy grupowe</w:t>
        </w:r>
      </w:hyperlink>
      <w:r w:rsidRPr="00513F86">
        <w:rPr>
          <w:rFonts w:ascii="Times New Roman" w:eastAsia="Times New Roman" w:hAnsi="Times New Roman" w:cs="Times New Roman"/>
          <w:color w:val="000000" w:themeColor="text1"/>
          <w:sz w:val="21"/>
          <w:szCs w:val="21"/>
          <w:lang w:eastAsia="pl-PL"/>
        </w:rPr>
        <w:t>. Wydawnictwo Harmonia. Gdańsk 2004;</w:t>
      </w:r>
    </w:p>
    <w:p w:rsidR="00513F86" w:rsidRPr="00513F86" w:rsidRDefault="00513F86" w:rsidP="00513F86">
      <w:pPr>
        <w:numPr>
          <w:ilvl w:val="0"/>
          <w:numId w:val="1"/>
        </w:numPr>
        <w:shd w:val="clear" w:color="auto" w:fill="FFFFFF"/>
        <w:spacing w:after="0" w:line="240" w:lineRule="auto"/>
        <w:rPr>
          <w:rFonts w:ascii="Times New Roman" w:eastAsia="Times New Roman" w:hAnsi="Times New Roman" w:cs="Times New Roman"/>
          <w:color w:val="000000" w:themeColor="text1"/>
          <w:sz w:val="21"/>
          <w:szCs w:val="21"/>
          <w:lang w:eastAsia="pl-PL"/>
        </w:rPr>
      </w:pPr>
      <w:r w:rsidRPr="00513F86">
        <w:rPr>
          <w:rFonts w:ascii="Times New Roman" w:eastAsia="Times New Roman" w:hAnsi="Times New Roman" w:cs="Times New Roman"/>
          <w:color w:val="000000" w:themeColor="text1"/>
          <w:sz w:val="21"/>
          <w:szCs w:val="21"/>
          <w:lang w:eastAsia="pl-PL"/>
        </w:rPr>
        <w:t>D. Krupa. </w:t>
      </w:r>
      <w:hyperlink r:id="rId6" w:anchor="cid=20580&amp;crid=224859&amp;pid=1320" w:tgtFrame="_blank" w:history="1">
        <w:r w:rsidRPr="00513F86">
          <w:rPr>
            <w:rFonts w:ascii="Times New Roman" w:eastAsia="Times New Roman" w:hAnsi="Times New Roman" w:cs="Times New Roman"/>
            <w:color w:val="000000" w:themeColor="text1"/>
            <w:sz w:val="21"/>
            <w:szCs w:val="21"/>
            <w:lang w:eastAsia="pl-PL"/>
          </w:rPr>
          <w:t xml:space="preserve">Rymowanki – </w:t>
        </w:r>
        <w:proofErr w:type="spellStart"/>
        <w:r w:rsidRPr="00513F86">
          <w:rPr>
            <w:rFonts w:ascii="Times New Roman" w:eastAsia="Times New Roman" w:hAnsi="Times New Roman" w:cs="Times New Roman"/>
            <w:color w:val="000000" w:themeColor="text1"/>
            <w:sz w:val="21"/>
            <w:szCs w:val="21"/>
            <w:lang w:eastAsia="pl-PL"/>
          </w:rPr>
          <w:t>utrwalanki</w:t>
        </w:r>
        <w:proofErr w:type="spellEnd"/>
        <w:r w:rsidRPr="00513F86">
          <w:rPr>
            <w:rFonts w:ascii="Times New Roman" w:eastAsia="Times New Roman" w:hAnsi="Times New Roman" w:cs="Times New Roman"/>
            <w:color w:val="000000" w:themeColor="text1"/>
            <w:sz w:val="21"/>
            <w:szCs w:val="21"/>
            <w:lang w:eastAsia="pl-PL"/>
          </w:rPr>
          <w:t>. Materiały do ćwiczeń logopedycznych</w:t>
        </w:r>
      </w:hyperlink>
      <w:r w:rsidRPr="00513F86">
        <w:rPr>
          <w:rFonts w:ascii="Times New Roman" w:eastAsia="Times New Roman" w:hAnsi="Times New Roman" w:cs="Times New Roman"/>
          <w:color w:val="000000" w:themeColor="text1"/>
          <w:sz w:val="21"/>
          <w:szCs w:val="21"/>
          <w:lang w:eastAsia="pl-PL"/>
        </w:rPr>
        <w:t>. Oficyna Wydawnicza Impuls. Kraków 2004;</w:t>
      </w:r>
    </w:p>
    <w:p w:rsidR="00513F86" w:rsidRPr="00513F86" w:rsidRDefault="00513F86" w:rsidP="00513F86">
      <w:pPr>
        <w:numPr>
          <w:ilvl w:val="0"/>
          <w:numId w:val="1"/>
        </w:numPr>
        <w:shd w:val="clear" w:color="auto" w:fill="FFFFFF"/>
        <w:spacing w:after="0" w:line="240" w:lineRule="auto"/>
        <w:rPr>
          <w:rFonts w:ascii="Times New Roman" w:eastAsia="Times New Roman" w:hAnsi="Times New Roman" w:cs="Times New Roman"/>
          <w:color w:val="000000" w:themeColor="text1"/>
          <w:sz w:val="21"/>
          <w:szCs w:val="21"/>
          <w:lang w:eastAsia="pl-PL"/>
        </w:rPr>
      </w:pPr>
      <w:r w:rsidRPr="00513F86">
        <w:rPr>
          <w:rFonts w:ascii="Times New Roman" w:eastAsia="Times New Roman" w:hAnsi="Times New Roman" w:cs="Times New Roman"/>
          <w:color w:val="000000" w:themeColor="text1"/>
          <w:sz w:val="21"/>
          <w:szCs w:val="21"/>
          <w:lang w:eastAsia="pl-PL"/>
        </w:rPr>
        <w:t>Z. Bogdanowicz. Zabawy dydaktyczne dla przedszkoli. WSiP. Warszawa 1990;</w:t>
      </w:r>
    </w:p>
    <w:p w:rsidR="00513F86" w:rsidRPr="00513F86" w:rsidRDefault="00513F86">
      <w:pPr>
        <w:rPr>
          <w:rFonts w:ascii="Times New Roman" w:hAnsi="Times New Roman" w:cs="Times New Roman"/>
          <w:color w:val="000000" w:themeColor="text1"/>
        </w:rPr>
      </w:pPr>
    </w:p>
    <w:sectPr w:rsidR="00513F86" w:rsidRPr="00513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4324D"/>
    <w:multiLevelType w:val="multilevel"/>
    <w:tmpl w:val="F62C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6"/>
    <w:rsid w:val="000A6B78"/>
    <w:rsid w:val="00513F86"/>
    <w:rsid w:val="00BD4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9F6A"/>
  <w15:chartTrackingRefBased/>
  <w15:docId w15:val="{348B0F57-E505-4C0E-B40D-71650752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513F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3F86"/>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513F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13F86"/>
    <w:rPr>
      <w:b/>
      <w:bCs/>
    </w:rPr>
  </w:style>
  <w:style w:type="character" w:styleId="Hipercze">
    <w:name w:val="Hyperlink"/>
    <w:basedOn w:val="Domylnaczcionkaakapitu"/>
    <w:uiPriority w:val="99"/>
    <w:semiHidden/>
    <w:unhideWhenUsed/>
    <w:rsid w:val="00513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7743">
      <w:bodyDiv w:val="1"/>
      <w:marLeft w:val="0"/>
      <w:marRight w:val="0"/>
      <w:marTop w:val="0"/>
      <w:marBottom w:val="0"/>
      <w:divBdr>
        <w:top w:val="none" w:sz="0" w:space="0" w:color="auto"/>
        <w:left w:val="none" w:sz="0" w:space="0" w:color="auto"/>
        <w:bottom w:val="none" w:sz="0" w:space="0" w:color="auto"/>
        <w:right w:val="none" w:sz="0" w:space="0" w:color="auto"/>
      </w:divBdr>
    </w:div>
    <w:div w:id="962271949">
      <w:bodyDiv w:val="1"/>
      <w:marLeft w:val="0"/>
      <w:marRight w:val="0"/>
      <w:marTop w:val="0"/>
      <w:marBottom w:val="0"/>
      <w:divBdr>
        <w:top w:val="none" w:sz="0" w:space="0" w:color="auto"/>
        <w:left w:val="none" w:sz="0" w:space="0" w:color="auto"/>
        <w:bottom w:val="none" w:sz="0" w:space="0" w:color="auto"/>
        <w:right w:val="none" w:sz="0" w:space="0" w:color="auto"/>
      </w:divBdr>
    </w:div>
    <w:div w:id="14576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eo.pl/12815097" TargetMode="External"/><Relationship Id="rId5" Type="http://schemas.openxmlformats.org/officeDocument/2006/relationships/hyperlink" Target="https://www.ceneo.pl/126912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1083</Words>
  <Characters>6498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sp.jaszczurowa@mucharz.pl</dc:creator>
  <cp:keywords/>
  <dc:description/>
  <cp:lastModifiedBy>sp.jaszczurowa@mucharz.pl</cp:lastModifiedBy>
  <cp:revision>1</cp:revision>
  <dcterms:created xsi:type="dcterms:W3CDTF">2022-11-09T12:41:00Z</dcterms:created>
  <dcterms:modified xsi:type="dcterms:W3CDTF">2022-11-09T12:45:00Z</dcterms:modified>
</cp:coreProperties>
</file>