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A195" w14:textId="20E79096" w:rsidR="00D25434" w:rsidRPr="00040750" w:rsidRDefault="00040750" w:rsidP="008B0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719919D1" wp14:editId="448BD118">
            <wp:extent cx="2145665" cy="1562669"/>
            <wp:effectExtent l="0" t="0" r="6985" b="0"/>
            <wp:docPr id="455377932" name="Obraz 5" descr="Pomalowane ręce dla dzieci obraz stock. Obraz złożonej z śmieszny - 33817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malowane ręce dla dzieci obraz stock. Obraz złożonej z śmieszny - 338172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36" cy="157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noProof/>
        </w:rPr>
        <w:t xml:space="preserve">                </w:t>
      </w:r>
      <w:r w:rsidR="00D25434" w:rsidRPr="008B011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Co ma ręka do gadania? </w:t>
      </w:r>
    </w:p>
    <w:p w14:paraId="6CD75C9B" w14:textId="77777777" w:rsidR="00D25434" w:rsidRPr="008B0119" w:rsidRDefault="00D25434" w:rsidP="008B0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1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0119">
        <w:rPr>
          <w:rFonts w:ascii="Times New Roman" w:hAnsi="Times New Roman" w:cs="Times New Roman"/>
          <w:sz w:val="24"/>
          <w:szCs w:val="24"/>
        </w:rPr>
        <w:t xml:space="preserve">Rękę można uznać za szeroko wyspecjalizowany narząd, który w życiu człowieka pełni bardzo wiele funkcji. Może nam ona służyć do popychania, przesuwania, podnoszenia ciężarów (a więc do wykonywania czynności wymagających siły, w mniejszym zakresie precyzji), zdolna jest również do wykonywania precyzyjnych i skomplikowanych ruchów, np. pisania. Sprawne ręce pozwalają nam na samodzielne ubranie się, zapięcie guzików, przygotowanie i spożycie posiłku, sięganie po przedmioty i manipulowanie nimi. Dzięki dłoniom oceniamy fakturę, wielkość, ciężar, kształt przedmiotów oraz temperaturę. Pełnią więc funkcję postrzegania. Ręce są również nośnikiem komunikatów niewerbalnych. Dzięki gestowi wskazywania palcem 13-15 miesięczne niemowlę jest w stanie kierować uwagę drugiej osoby na obiekt, który go zainteresował – spełniają więc funkcję komunikacyjną i społeczną. </w:t>
      </w:r>
    </w:p>
    <w:p w14:paraId="66852FA1" w14:textId="44026A2E" w:rsidR="00D25434" w:rsidRPr="008B0119" w:rsidRDefault="00D25434" w:rsidP="008B0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0119">
        <w:rPr>
          <w:rFonts w:ascii="Times New Roman" w:hAnsi="Times New Roman" w:cs="Times New Roman"/>
          <w:sz w:val="24"/>
          <w:szCs w:val="24"/>
        </w:rPr>
        <w:t xml:space="preserve">Kształtowanie się motoryki precyzyjnej jest procesem złożonym i skomplikowanym, zaczyna się już w okresie życia płodowego. Rozwój umiejętności manualnych pozostaje w ścisłej korelacji z całym rozwojem psychomotorycznym dziecka, a więc i z rozwojem mowy. Dzieje się tak dlatego, iż „motoryka precyzyjna oraz komunikacja językowa to funkcje zaliczające się do tzw. wyższych czynności mózgowych sterowanych przez procesy korowe. (…) Funkcje manualne i funkcje mowy są ściśle ze sobą powiązane już na poziomie neurofizjologicznym - ze względu na bliskość lokalizacji i powiązania funkcjonalne w organizacji mózgowej czynności. Prawidłowy przebieg tak złożonego, celowego aktu ruchowego jest wynikiem sprawnej pracy ośrodków korowych i podkorowych, dróg łączących korę mózgową z jądrami nerwów czaszkowych łączących jądra pnia mózgu z mięśniami. Sprawną regulację ruchu i jego dostosowanie do warunków zewnętrznych zapewniają stale współpracujące ze sobą połączenia </w:t>
      </w:r>
      <w:proofErr w:type="spellStart"/>
      <w:r w:rsidRPr="008B0119">
        <w:rPr>
          <w:rFonts w:ascii="Times New Roman" w:hAnsi="Times New Roman" w:cs="Times New Roman"/>
          <w:sz w:val="24"/>
          <w:szCs w:val="24"/>
        </w:rPr>
        <w:t>eferentne</w:t>
      </w:r>
      <w:proofErr w:type="spellEnd"/>
      <w:r w:rsidRPr="008B01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0119">
        <w:rPr>
          <w:rFonts w:ascii="Times New Roman" w:hAnsi="Times New Roman" w:cs="Times New Roman"/>
          <w:sz w:val="24"/>
          <w:szCs w:val="24"/>
        </w:rPr>
        <w:t>aferentne</w:t>
      </w:r>
      <w:proofErr w:type="spellEnd"/>
      <w:r w:rsidRPr="008B0119">
        <w:rPr>
          <w:rFonts w:ascii="Times New Roman" w:hAnsi="Times New Roman" w:cs="Times New Roman"/>
          <w:sz w:val="24"/>
          <w:szCs w:val="24"/>
        </w:rPr>
        <w:t xml:space="preserve">. (…) Pola ruchowe ręki oraz narządów artykulacyjnych znajdują się w sąsiadujących okolicach kory mózgowej i zajmują duży obszar co wskazuje na ich ogromne znaczenie funkcjonalne.” (7). Reprezentacje ciała w korze motorycznej i czuciowej mózgu przedstawia schemat </w:t>
      </w:r>
      <w:proofErr w:type="spellStart"/>
      <w:r w:rsidRPr="008B0119">
        <w:rPr>
          <w:rFonts w:ascii="Times New Roman" w:hAnsi="Times New Roman" w:cs="Times New Roman"/>
          <w:sz w:val="24"/>
          <w:szCs w:val="24"/>
        </w:rPr>
        <w:t>Penfielda</w:t>
      </w:r>
      <w:proofErr w:type="spellEnd"/>
      <w:r w:rsidRPr="008B0119">
        <w:rPr>
          <w:rFonts w:ascii="Times New Roman" w:hAnsi="Times New Roman" w:cs="Times New Roman"/>
          <w:sz w:val="24"/>
          <w:szCs w:val="24"/>
        </w:rPr>
        <w:t>:</w:t>
      </w:r>
    </w:p>
    <w:p w14:paraId="248C48AE" w14:textId="77777777" w:rsidR="00D25434" w:rsidRPr="008B0119" w:rsidRDefault="00D25434" w:rsidP="008B0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06660" w14:textId="5C7B0623" w:rsidR="00D25434" w:rsidRPr="008B0119" w:rsidRDefault="00D25434" w:rsidP="008B0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1FA6CC" wp14:editId="5ADCBDB1">
            <wp:extent cx="4711700" cy="2889250"/>
            <wp:effectExtent l="0" t="0" r="0" b="6350"/>
            <wp:docPr id="878991458" name="Obraz 1" descr="2: The Wilder Penfield Homunculus: the drawing of the limbs along the M1 region shows the regions responsible for generating a motor control signal to different parts of the body.[Adapted from [19]]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: The Wilder Penfield Homunculus: the drawing of the limbs along the M1 region shows the regions responsible for generating a motor control signal to different parts of the body.[Adapted from [19]]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060" cy="291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0FF49" w14:textId="01CCB803" w:rsidR="00D25434" w:rsidRPr="008B0119" w:rsidRDefault="00D25434" w:rsidP="008B0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19">
        <w:rPr>
          <w:rFonts w:ascii="Times New Roman" w:hAnsi="Times New Roman" w:cs="Times New Roman"/>
          <w:sz w:val="24"/>
          <w:szCs w:val="24"/>
        </w:rPr>
        <w:t>Źródło: Internet (tłumaczenie własne)</w:t>
      </w:r>
    </w:p>
    <w:p w14:paraId="37641AE3" w14:textId="4F90738F" w:rsidR="00D25434" w:rsidRPr="008B0119" w:rsidRDefault="00D25434" w:rsidP="008B0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1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0119">
        <w:rPr>
          <w:rFonts w:ascii="Times New Roman" w:hAnsi="Times New Roman" w:cs="Times New Roman"/>
          <w:sz w:val="24"/>
          <w:szCs w:val="24"/>
        </w:rPr>
        <w:t xml:space="preserve">Od momentu urodzenia OUN kieruje motoryką dziecka poprzez odruchy. Stanowią one podstawę rozwoju motorycznego, w tym motoryki precyzyjnej, a także mowy. Odruchy w miarę upływu czasu integrują się i przechodzą w dojrzalsze - ruchy świadomie kontrolowane. Przetrwanie odruchów jest objawem patologii (4). Zdrowe, urodzone o czasie dziecko demonstruje szereg odruchów ważnych dla rozwoju jego mowy w przyszłości, np. odruch ssania, połykania, wysuwania języka, kąsania, żucia. (4). Ja zaś skupię na tych, które wpływają na rozwój lateralnego wymiaru ciała, gdyż one najściślej powiązane są z rozwojem motoryki precyzyjnej. „Lateralność (…) odpowiada za współdziałanie prawej i lewej półkuli mózgu. Na bazie wymiaru lateralnego możemy rozwijać nawyki koordynacji ruchów między prawą i lewą połową ciała: oczu (…), uszu (…), koordynacji lewej i prawej ręki, nóg, ruchów całego ciała. Stan tego wymiaru wpływa na współdziałanie percepcji i umiejętności komunikowania się z innymi.” (5). </w:t>
      </w:r>
      <w:proofErr w:type="spellStart"/>
      <w:r w:rsidRPr="008B0119">
        <w:rPr>
          <w:rFonts w:ascii="Times New Roman" w:hAnsi="Times New Roman" w:cs="Times New Roman"/>
          <w:sz w:val="24"/>
          <w:szCs w:val="24"/>
        </w:rPr>
        <w:t>Masgutowa</w:t>
      </w:r>
      <w:proofErr w:type="spellEnd"/>
      <w:r w:rsidRPr="008B01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0119">
        <w:rPr>
          <w:rFonts w:ascii="Times New Roman" w:hAnsi="Times New Roman" w:cs="Times New Roman"/>
          <w:sz w:val="24"/>
          <w:szCs w:val="24"/>
        </w:rPr>
        <w:t>Akhmatova</w:t>
      </w:r>
      <w:proofErr w:type="spellEnd"/>
      <w:r w:rsidRPr="008B0119">
        <w:rPr>
          <w:rFonts w:ascii="Times New Roman" w:hAnsi="Times New Roman" w:cs="Times New Roman"/>
          <w:sz w:val="24"/>
          <w:szCs w:val="24"/>
        </w:rPr>
        <w:t>(5) opisują wpływ poszczególnych odruchów na rozwój motoryki i mowy dziecka. Przedstawia to tabela 1:</w:t>
      </w:r>
    </w:p>
    <w:p w14:paraId="792679C8" w14:textId="16C34467" w:rsidR="00D25434" w:rsidRPr="008B0119" w:rsidRDefault="00D25434" w:rsidP="008B0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19">
        <w:rPr>
          <w:rFonts w:ascii="Times New Roman" w:hAnsi="Times New Roman" w:cs="Times New Roman"/>
          <w:sz w:val="24"/>
          <w:szCs w:val="24"/>
        </w:rPr>
        <w:t>Tabela 1. Wpływ odruchów na rozwój motoryki i mowy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5434" w:rsidRPr="008B0119" w14:paraId="72D70D2A" w14:textId="77777777" w:rsidTr="00D25434">
        <w:tc>
          <w:tcPr>
            <w:tcW w:w="3020" w:type="dxa"/>
          </w:tcPr>
          <w:p w14:paraId="6A49035A" w14:textId="589215EE" w:rsidR="00D25434" w:rsidRPr="008B0119" w:rsidRDefault="00D25434" w:rsidP="008B01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ODRUCH</w:t>
            </w:r>
          </w:p>
        </w:tc>
        <w:tc>
          <w:tcPr>
            <w:tcW w:w="3021" w:type="dxa"/>
          </w:tcPr>
          <w:p w14:paraId="0E127960" w14:textId="393D0EA6" w:rsidR="00D25434" w:rsidRPr="008B0119" w:rsidRDefault="00D25434" w:rsidP="008B01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ZINTEGROWANY</w:t>
            </w:r>
          </w:p>
        </w:tc>
        <w:tc>
          <w:tcPr>
            <w:tcW w:w="3021" w:type="dxa"/>
          </w:tcPr>
          <w:p w14:paraId="75C71E01" w14:textId="25EB078B" w:rsidR="00D25434" w:rsidRPr="008B0119" w:rsidRDefault="00D25434" w:rsidP="008B01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NIEZINTEGROWANY</w:t>
            </w:r>
          </w:p>
        </w:tc>
      </w:tr>
      <w:tr w:rsidR="00D25434" w:rsidRPr="008B0119" w14:paraId="012D5D47" w14:textId="77777777" w:rsidTr="00D25434">
        <w:tc>
          <w:tcPr>
            <w:tcW w:w="3020" w:type="dxa"/>
          </w:tcPr>
          <w:p w14:paraId="3F20E763" w14:textId="691C8796" w:rsidR="00D25434" w:rsidRPr="008B0119" w:rsidRDefault="00D25434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hwytny Robinsona - pojawia się pod koniec 11 tygodnia życia płodowego, </w:t>
            </w:r>
            <w:r w:rsidRPr="008B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jest aktywny od urodzenia do pierwszego roku życia dziecka.</w:t>
            </w:r>
          </w:p>
        </w:tc>
        <w:tc>
          <w:tcPr>
            <w:tcW w:w="3021" w:type="dxa"/>
          </w:tcPr>
          <w:p w14:paraId="6C59A6CA" w14:textId="25D7C7F6" w:rsidR="00D25434" w:rsidRPr="008B0119" w:rsidRDefault="00D25434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Wpływa na rozwój koordynacji dużej motoryki rąk, chwytanie i trzymanie </w:t>
            </w:r>
            <w:r w:rsidRPr="008B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przedmiotów, manipulowanie dużymi przedmiotami, a potem także na rozwój motoryki małej (palców) potrzebnej do rysowania, pisania itd. Ułatwia rozróżnianie lewej i prawej połowy ciała, pomaga dostrzec linię środkową</w:t>
            </w:r>
          </w:p>
        </w:tc>
        <w:tc>
          <w:tcPr>
            <w:tcW w:w="3021" w:type="dxa"/>
          </w:tcPr>
          <w:p w14:paraId="46608DD1" w14:textId="4EF08387" w:rsidR="00D25434" w:rsidRPr="008B0119" w:rsidRDefault="00D25434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Może prowadzić do różnych problemów, takich jak nadmierne naciskanie </w:t>
            </w:r>
            <w:r w:rsidRPr="008B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długopisu albo ołówka przy rysowaniu i pisaniu, niechęci do pisania i innych działań wymagających motoryki małej rąk, do problemu dysgrafii, a może także negatywnie wpływać na rozwój mowy i umiejętności komunikacji.</w:t>
            </w:r>
          </w:p>
        </w:tc>
      </w:tr>
      <w:tr w:rsidR="00D25434" w:rsidRPr="008B0119" w14:paraId="1F521A08" w14:textId="77777777" w:rsidTr="00D25434">
        <w:tc>
          <w:tcPr>
            <w:tcW w:w="3020" w:type="dxa"/>
          </w:tcPr>
          <w:p w14:paraId="446011CF" w14:textId="644A0FFC" w:rsidR="00D25434" w:rsidRPr="008B0119" w:rsidRDefault="00D25434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Odruch podciągania rąk – pojawia się w 28 tygodniu ciąży i jest aktywny od urodzenia do 2 miesiąca.</w:t>
            </w:r>
          </w:p>
        </w:tc>
        <w:tc>
          <w:tcPr>
            <w:tcW w:w="3021" w:type="dxa"/>
          </w:tcPr>
          <w:p w14:paraId="349801B3" w14:textId="64035CAB" w:rsidR="00D25434" w:rsidRPr="008B0119" w:rsidRDefault="00D25434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Wspomaga funkcjonowanie mięśni i rozwój motoryki małej rąk i palców podczas sięgania po przedmioty. Dzięki temu zmieniają się możliwości poznawcze dziecka.</w:t>
            </w:r>
          </w:p>
        </w:tc>
        <w:tc>
          <w:tcPr>
            <w:tcW w:w="3021" w:type="dxa"/>
          </w:tcPr>
          <w:p w14:paraId="46860A9E" w14:textId="0C5CE996" w:rsidR="00D25434" w:rsidRPr="008B0119" w:rsidRDefault="00D25434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Może spowodować niewłaściwe napięcie mięśni rąk, co ma negatywny wpływ na rozwój motoryki małej. Jest często przyczyną trudności z mówieniem, poprawnym pisaniem, a także problemów z koncentracją i nadpobudliwością (ADHD)</w:t>
            </w:r>
          </w:p>
        </w:tc>
      </w:tr>
      <w:tr w:rsidR="00D25434" w:rsidRPr="008B0119" w14:paraId="7D94BC97" w14:textId="77777777" w:rsidTr="00D25434">
        <w:tc>
          <w:tcPr>
            <w:tcW w:w="3020" w:type="dxa"/>
          </w:tcPr>
          <w:p w14:paraId="2BBD5516" w14:textId="2645100A" w:rsidR="00D25434" w:rsidRPr="008B0119" w:rsidRDefault="00D25434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Dłoniowo</w:t>
            </w:r>
            <w:r w:rsidR="008B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– bródkowy odruch </w:t>
            </w:r>
            <w:proofErr w:type="spellStart"/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Babkina</w:t>
            </w:r>
            <w:proofErr w:type="spellEnd"/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 – pojawia się w 9 tygodniu życia płodowego, integruje się z układem ruchu około 4 miesiąca życia dziecka.</w:t>
            </w:r>
          </w:p>
        </w:tc>
        <w:tc>
          <w:tcPr>
            <w:tcW w:w="3021" w:type="dxa"/>
          </w:tcPr>
          <w:p w14:paraId="1975FEF7" w14:textId="4D2BBC67" w:rsidR="00D25434" w:rsidRPr="008B0119" w:rsidRDefault="00D25434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Jest konieczny dla koordynacji ręce – organy artykulacyjne, a później także dla rozwoju mowy i komunikacji. Wpływa na rozwój środka ciała. Umożliwia rozwój ekspresji twarzy i dynamiki ruchów kości czaszki, a zwłaszcza kości klinowej i stawu żuchwowo – skroniowego.</w:t>
            </w:r>
          </w:p>
        </w:tc>
        <w:tc>
          <w:tcPr>
            <w:tcW w:w="3021" w:type="dxa"/>
          </w:tcPr>
          <w:p w14:paraId="5EC318A1" w14:textId="6EEC2A64" w:rsidR="00D25434" w:rsidRPr="008B0119" w:rsidRDefault="00D25434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Jeśli utrzymuje się zbyt długo powoduje: napięcie w ciele, skłonność do neurozy, jąkanie, zaburzenia w działaniu przewodu pokarmowego. Jeśli odruch jest zbyt słaby świadczy o hipotonii i wiotkości mięśni.</w:t>
            </w:r>
          </w:p>
        </w:tc>
      </w:tr>
      <w:tr w:rsidR="00D25434" w:rsidRPr="008B0119" w14:paraId="563FF9EC" w14:textId="77777777" w:rsidTr="00D25434">
        <w:tc>
          <w:tcPr>
            <w:tcW w:w="3020" w:type="dxa"/>
          </w:tcPr>
          <w:p w14:paraId="2ED90733" w14:textId="6BD4F991" w:rsidR="00D25434" w:rsidRPr="008B0119" w:rsidRDefault="00D25434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ATOS – pojawia się w 13 tygodniu życia płodowego i </w:t>
            </w:r>
            <w:r w:rsidRPr="008B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jest aktywny do 4-6 miesiąca życia niemowlęcia.</w:t>
            </w:r>
          </w:p>
        </w:tc>
        <w:tc>
          <w:tcPr>
            <w:tcW w:w="3021" w:type="dxa"/>
          </w:tcPr>
          <w:p w14:paraId="56F600F9" w14:textId="33A501D3" w:rsidR="00D25434" w:rsidRPr="008B0119" w:rsidRDefault="00D25434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Jest niezbędny dla rozwoju wymiaru lateralności. Umożliwia wykształcenie się </w:t>
            </w:r>
            <w:r w:rsidRPr="008B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przewagi lewej półkuli dla mowy i języka. Odgrywa ważną rolę w kształtowaniu się dominującego ucha, a także koordynacji ucho – oczy.</w:t>
            </w:r>
          </w:p>
        </w:tc>
        <w:tc>
          <w:tcPr>
            <w:tcW w:w="3021" w:type="dxa"/>
          </w:tcPr>
          <w:p w14:paraId="36903B4E" w14:textId="687A8B47" w:rsidR="00D25434" w:rsidRPr="008B0119" w:rsidRDefault="00D25434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Jest jedną z najczęstszych przyczyn niepowodzeń szkolnych. Prowadzi do </w:t>
            </w:r>
            <w:r w:rsidRPr="008B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dysleksji, dyskalkulii, opóźnień w rozwoju mowy. Jest częsty u dzieci z </w:t>
            </w:r>
            <w:proofErr w:type="spellStart"/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MPDz</w:t>
            </w:r>
            <w:proofErr w:type="spellEnd"/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 i autyzmem.</w:t>
            </w:r>
          </w:p>
        </w:tc>
      </w:tr>
    </w:tbl>
    <w:p w14:paraId="69507A52" w14:textId="77777777" w:rsidR="00D25434" w:rsidRPr="008B0119" w:rsidRDefault="00D25434" w:rsidP="008B0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0E5EE" w14:textId="40DC612A" w:rsidR="00D25434" w:rsidRPr="008B0119" w:rsidRDefault="00D25434" w:rsidP="008B0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1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0119">
        <w:rPr>
          <w:rFonts w:ascii="Times New Roman" w:hAnsi="Times New Roman" w:cs="Times New Roman"/>
          <w:sz w:val="24"/>
          <w:szCs w:val="24"/>
        </w:rPr>
        <w:t xml:space="preserve">Niezwykle ważną rolę w kształtowaniu się funkcji psychomotorycznych dziecka odgrywa integracja sensoryczna. Odbywa się ona w mózgu, gdzie informacje z wrażeń zmysłowych są przyjmowane, przesiewane (eliminowane), rozpoznawane, interpretowane i integrowane z już posiadanymi. (8). Rozwój procesów integracyjnych przebiega na czterech poziomach, przy czym jeden poziom buduje się na drugim. (8). T. Kaczan i L. Sadowska podkreślają również znaczenie procesów torowania i hamowania informacji sensorycznej. „U dzieci z trudnościami w nauce lub zaburzeniami zachowania często występuje niewystarczające hamowanie napływających bodźców, co może prowadzić do niepohamowanych </w:t>
      </w:r>
      <w:proofErr w:type="spellStart"/>
      <w:r w:rsidRPr="008B011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B0119">
        <w:rPr>
          <w:rFonts w:ascii="Times New Roman" w:hAnsi="Times New Roman" w:cs="Times New Roman"/>
          <w:sz w:val="24"/>
          <w:szCs w:val="24"/>
        </w:rPr>
        <w:t xml:space="preserve">, niewystarczającej percepcji i nie zręczności. Jeżeli hamowanie jest zbyt silne, do świadomości napływa zbyt mała ilość informacji (…). Zanim dziecko zrozumie wyrazy, musi zintegrować swoją zdolność odbierania bodźców dźwiękowych i zanim zacznie mówić, musi mieć dobrą zdolność odbioru </w:t>
      </w:r>
      <w:proofErr w:type="spellStart"/>
      <w:r w:rsidRPr="008B0119">
        <w:rPr>
          <w:rFonts w:ascii="Times New Roman" w:hAnsi="Times New Roman" w:cs="Times New Roman"/>
          <w:sz w:val="24"/>
          <w:szCs w:val="24"/>
        </w:rPr>
        <w:t>kinetyczno</w:t>
      </w:r>
      <w:proofErr w:type="spellEnd"/>
      <w:r w:rsidRPr="008B01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B0119">
        <w:rPr>
          <w:rFonts w:ascii="Times New Roman" w:hAnsi="Times New Roman" w:cs="Times New Roman"/>
          <w:sz w:val="24"/>
          <w:szCs w:val="24"/>
        </w:rPr>
        <w:t>proprioceptywnego</w:t>
      </w:r>
      <w:proofErr w:type="spellEnd"/>
      <w:r w:rsidRPr="008B0119">
        <w:rPr>
          <w:rFonts w:ascii="Times New Roman" w:hAnsi="Times New Roman" w:cs="Times New Roman"/>
          <w:sz w:val="24"/>
          <w:szCs w:val="24"/>
        </w:rPr>
        <w:t xml:space="preserve">”. (3) Właściwa integracja odruchów oraz informacji sensorycznych stanowią podstawę prawidłowego rozwoju motorycznego, a przez to rozwoju mowy dziecka. Korelację pomiędzy rozwojem sprawności dłoni, a mową opisują S. </w:t>
      </w:r>
      <w:proofErr w:type="spellStart"/>
      <w:r w:rsidRPr="008B0119">
        <w:rPr>
          <w:rFonts w:ascii="Times New Roman" w:hAnsi="Times New Roman" w:cs="Times New Roman"/>
          <w:sz w:val="24"/>
          <w:szCs w:val="24"/>
        </w:rPr>
        <w:t>Masgutowa</w:t>
      </w:r>
      <w:proofErr w:type="spellEnd"/>
      <w:r w:rsidRPr="008B0119">
        <w:rPr>
          <w:rFonts w:ascii="Times New Roman" w:hAnsi="Times New Roman" w:cs="Times New Roman"/>
          <w:sz w:val="24"/>
          <w:szCs w:val="24"/>
        </w:rPr>
        <w:t xml:space="preserve"> i A. </w:t>
      </w:r>
      <w:proofErr w:type="spellStart"/>
      <w:r w:rsidRPr="008B0119">
        <w:rPr>
          <w:rFonts w:ascii="Times New Roman" w:hAnsi="Times New Roman" w:cs="Times New Roman"/>
          <w:sz w:val="24"/>
          <w:szCs w:val="24"/>
        </w:rPr>
        <w:t>Regner</w:t>
      </w:r>
      <w:proofErr w:type="spellEnd"/>
      <w:r w:rsidRPr="008B0119">
        <w:rPr>
          <w:rFonts w:ascii="Times New Roman" w:hAnsi="Times New Roman" w:cs="Times New Roman"/>
          <w:sz w:val="24"/>
          <w:szCs w:val="24"/>
        </w:rPr>
        <w:t xml:space="preserve"> (4). Została ona przedstawiona w tabeli 2</w:t>
      </w:r>
    </w:p>
    <w:p w14:paraId="4A4A522F" w14:textId="77777777" w:rsidR="00D25434" w:rsidRPr="008B0119" w:rsidRDefault="00D25434" w:rsidP="008B0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9349D" w14:textId="08A55143" w:rsidR="00D25434" w:rsidRPr="008B0119" w:rsidRDefault="00D25434" w:rsidP="008B0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19">
        <w:rPr>
          <w:rFonts w:ascii="Times New Roman" w:hAnsi="Times New Roman" w:cs="Times New Roman"/>
          <w:sz w:val="24"/>
          <w:szCs w:val="24"/>
        </w:rPr>
        <w:t>Tabela 2. Związek rozwoju sprawności dłoni z rozwojem mowy</w:t>
      </w: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1560"/>
        <w:gridCol w:w="3664"/>
        <w:gridCol w:w="4983"/>
      </w:tblGrid>
      <w:tr w:rsidR="008B0119" w:rsidRPr="008B0119" w14:paraId="3C808919" w14:textId="77777777" w:rsidTr="008B0119">
        <w:tc>
          <w:tcPr>
            <w:tcW w:w="1560" w:type="dxa"/>
          </w:tcPr>
          <w:p w14:paraId="51BACBBF" w14:textId="43BE72ED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WIEK DZIECKA</w:t>
            </w:r>
          </w:p>
        </w:tc>
        <w:tc>
          <w:tcPr>
            <w:tcW w:w="3664" w:type="dxa"/>
          </w:tcPr>
          <w:p w14:paraId="06272F8A" w14:textId="4CA7CE29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MOTORY PRECYZYJNA DŁONI</w:t>
            </w:r>
          </w:p>
        </w:tc>
        <w:tc>
          <w:tcPr>
            <w:tcW w:w="4983" w:type="dxa"/>
          </w:tcPr>
          <w:p w14:paraId="285769BF" w14:textId="703E4DC2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MOWA</w:t>
            </w:r>
          </w:p>
        </w:tc>
      </w:tr>
      <w:tr w:rsidR="008B0119" w:rsidRPr="008B0119" w14:paraId="4C1193FE" w14:textId="77777777" w:rsidTr="008B0119">
        <w:tc>
          <w:tcPr>
            <w:tcW w:w="1560" w:type="dxa"/>
          </w:tcPr>
          <w:p w14:paraId="2A184D37" w14:textId="1E271540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noworodek</w:t>
            </w:r>
          </w:p>
        </w:tc>
        <w:tc>
          <w:tcPr>
            <w:tcW w:w="3664" w:type="dxa"/>
          </w:tcPr>
          <w:p w14:paraId="0156F540" w14:textId="71C28D91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Dłonie noworodka przez większość czasu są zamknięte. W tym okresie bardzo widoczny jest mocny odruch chwytn</w:t>
            </w: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y.</w:t>
            </w:r>
          </w:p>
        </w:tc>
        <w:tc>
          <w:tcPr>
            <w:tcW w:w="4983" w:type="dxa"/>
          </w:tcPr>
          <w:p w14:paraId="000B498F" w14:textId="56CFBC2C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Występuje silny odruch ssania, pojawia się krzyk będący odpowiedzią na niekorzystne bodźce. Pierwszymi dowodami na związek między narządami artykulacyjnymi i rąk jest fakt, iż w pierwszych miesiącach odruch chwytny może zostać wywołany poprzez ruchy ssania oraz </w:t>
            </w:r>
            <w:r w:rsidRPr="008B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występowanie odruchu </w:t>
            </w:r>
            <w:proofErr w:type="spellStart"/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Babkina</w:t>
            </w:r>
            <w:proofErr w:type="spellEnd"/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. W sytuacji gdy odruch chwytny jest przetrwały dochodzi do ograniczenia sprawności i aktywności manipulacyjnych oraz zaburzeń w artykulacji.</w:t>
            </w:r>
          </w:p>
        </w:tc>
      </w:tr>
      <w:tr w:rsidR="008B0119" w:rsidRPr="008B0119" w14:paraId="74EBF88F" w14:textId="77777777" w:rsidTr="008B0119">
        <w:tc>
          <w:tcPr>
            <w:tcW w:w="1560" w:type="dxa"/>
          </w:tcPr>
          <w:p w14:paraId="59676095" w14:textId="70447ECB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miesiąc</w:t>
            </w:r>
          </w:p>
        </w:tc>
        <w:tc>
          <w:tcPr>
            <w:tcW w:w="3664" w:type="dxa"/>
          </w:tcPr>
          <w:p w14:paraId="6DF117A2" w14:textId="448DB40F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Następuje przejściowa faza przy rozwoju małej motoryki. Zanika odruch chwytny, przez co dziecięce dłonie częściej zostają lekko </w:t>
            </w:r>
            <w:proofErr w:type="spellStart"/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otwart</w:t>
            </w:r>
            <w:proofErr w:type="spellEnd"/>
          </w:p>
        </w:tc>
        <w:tc>
          <w:tcPr>
            <w:tcW w:w="4983" w:type="dxa"/>
          </w:tcPr>
          <w:p w14:paraId="55248415" w14:textId="2B7D3BC8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Pojawia się krzyk dźwięki przypominające samogłoski, często połączone z „h”. przez ssanie, przełykanie, płacz dziecko nabywa doświadczenia w kontrolowaniu przepływającego przez nos i usta powietrza, ćwiczy także niektóre narządy artykulacyjne.</w:t>
            </w:r>
          </w:p>
        </w:tc>
      </w:tr>
      <w:tr w:rsidR="008B0119" w:rsidRPr="008B0119" w14:paraId="0E31648B" w14:textId="77777777" w:rsidTr="008B0119">
        <w:tc>
          <w:tcPr>
            <w:tcW w:w="1560" w:type="dxa"/>
          </w:tcPr>
          <w:p w14:paraId="1BAB8B79" w14:textId="16FD7B22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2-5 miesiąc</w:t>
            </w:r>
          </w:p>
        </w:tc>
        <w:tc>
          <w:tcPr>
            <w:tcW w:w="3664" w:type="dxa"/>
          </w:tcPr>
          <w:p w14:paraId="1F126ECF" w14:textId="139AE419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Dziecko zaczyna wyciągać rączki (początkowo dłonie są zaciśnięte) w kierunku zabawek. W okolicach 10 tygodnia życia niemowlę wymachuje ręką w kierunku rzeczy, które są nad nim zawieszone. W 4 miesiącu życia dziecko potrafi już chwycić przedmiot, bawić się swoimi rączkami i wkładać zabawki do ust.</w:t>
            </w:r>
          </w:p>
        </w:tc>
        <w:tc>
          <w:tcPr>
            <w:tcW w:w="4983" w:type="dxa"/>
          </w:tcPr>
          <w:p w14:paraId="2131CA7A" w14:textId="3EA08A9A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U niemowlaka pojawia się </w:t>
            </w:r>
            <w:proofErr w:type="spellStart"/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głużenie</w:t>
            </w:r>
            <w:proofErr w:type="spellEnd"/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 jako odruch bezwarunkowy oraz głośny śmiech. Dają się również słyszeć dźwięki </w:t>
            </w:r>
            <w:proofErr w:type="spellStart"/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głoskopodobne</w:t>
            </w:r>
            <w:proofErr w:type="spellEnd"/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 i spółgłoski </w:t>
            </w:r>
            <w:proofErr w:type="spellStart"/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weralne</w:t>
            </w:r>
            <w:proofErr w:type="spellEnd"/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. Na tym etapie dzieci uczą się koordynacji języka z wibracją strun głosowych</w:t>
            </w:r>
          </w:p>
        </w:tc>
      </w:tr>
      <w:tr w:rsidR="008B0119" w:rsidRPr="008B0119" w14:paraId="276AAD75" w14:textId="77777777" w:rsidTr="008B0119">
        <w:tc>
          <w:tcPr>
            <w:tcW w:w="1560" w:type="dxa"/>
          </w:tcPr>
          <w:p w14:paraId="17EAE125" w14:textId="4CB8C94F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5-6 miesiąc</w:t>
            </w:r>
          </w:p>
        </w:tc>
        <w:tc>
          <w:tcPr>
            <w:tcW w:w="3664" w:type="dxa"/>
          </w:tcPr>
          <w:p w14:paraId="28CC0835" w14:textId="64A34322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Rączki dziecka nie są w stanie jeszcze dłużej utrzymać przedmiotu, ale maluch potrafi zbliżyć jednocześnie obie dłonie do widzianej zabawki. W tym czasie pojawia się też chwyt łokciowo-dłoniowy oraz chwyt dłoniowy prosty. Na tym etapie dziecko nie potrafi jeszcze trzymać dwóch przedmiotów jednocześnie. </w:t>
            </w:r>
          </w:p>
        </w:tc>
        <w:tc>
          <w:tcPr>
            <w:tcW w:w="4983" w:type="dxa"/>
          </w:tcPr>
          <w:p w14:paraId="3663A2D6" w14:textId="43BC9088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Dźwięki wydawane przez dziecko są zdecydowanie bardziej zróżnicowane: piski, kwilenie, pomrukiwanie czy dmuchanie oraz głoski wibracyjne (skutek drgania warg).W 6 miesiącu dziecko świadomie powtarza dźwięki – gaworzenie. Pojawiają się sylaby oraz łańcuchy sylabowe. </w:t>
            </w:r>
          </w:p>
        </w:tc>
      </w:tr>
      <w:tr w:rsidR="008B0119" w:rsidRPr="008B0119" w14:paraId="62CFAB86" w14:textId="77777777" w:rsidTr="008B0119">
        <w:tc>
          <w:tcPr>
            <w:tcW w:w="1560" w:type="dxa"/>
          </w:tcPr>
          <w:p w14:paraId="428D2072" w14:textId="514A880F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7-8 miesiąc</w:t>
            </w:r>
          </w:p>
        </w:tc>
        <w:tc>
          <w:tcPr>
            <w:tcW w:w="3664" w:type="dxa"/>
          </w:tcPr>
          <w:p w14:paraId="3B227F12" w14:textId="07D6CD5B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Podczas gdy dziecko ujmuje przedmiot można zauważyć, że ruchy palców są harmonijne i </w:t>
            </w:r>
            <w:r w:rsidRPr="008B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bardziej precyzyjne. W momencie przekładania zabawki z ręki do ręki maluch posługuje się głównie palcami. Etap ten, to początek nauki posługiwania się palcem wskazującym i kciukiem. W tym czasie, kciukiem dziecko potrafi jedynie wykonywać ruchy </w:t>
            </w:r>
            <w:proofErr w:type="spellStart"/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przywodzenia</w:t>
            </w:r>
            <w:proofErr w:type="spellEnd"/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 i odwodzenia w stosunku do pozostałych palców – chwyt nożycowy, który pozwala dziecku na utrzymanie stosunkowo małego przedmiotu. Dziecko zaczyna manipulować przedmiotami, potrafi też utrzymać jednocześnie po jednym przedmiocie w dłoni.</w:t>
            </w:r>
          </w:p>
        </w:tc>
        <w:tc>
          <w:tcPr>
            <w:tcW w:w="4983" w:type="dxa"/>
          </w:tcPr>
          <w:p w14:paraId="35719E38" w14:textId="3A9A5E75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Wraz z pojawieniem się umiejętności manipulowania przedmiotami, pojawia się „manipulacja” głoskami. Natomiast powtarzanie </w:t>
            </w:r>
            <w:r w:rsidRPr="008B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sekwencji ruchów dłoni wiąże się z budowaniem łańcuchów sylabowych</w:t>
            </w:r>
          </w:p>
        </w:tc>
      </w:tr>
      <w:tr w:rsidR="008B0119" w:rsidRPr="008B0119" w14:paraId="65DAB43A" w14:textId="77777777" w:rsidTr="008B0119">
        <w:tc>
          <w:tcPr>
            <w:tcW w:w="1560" w:type="dxa"/>
          </w:tcPr>
          <w:p w14:paraId="53F42412" w14:textId="6262E3F7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 miesiąc</w:t>
            </w:r>
          </w:p>
        </w:tc>
        <w:tc>
          <w:tcPr>
            <w:tcW w:w="3664" w:type="dxa"/>
          </w:tcPr>
          <w:p w14:paraId="7FA0BAFF" w14:textId="77777777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Dziecko potrafi już: </w:t>
            </w:r>
          </w:p>
          <w:p w14:paraId="3D5ADA51" w14:textId="77777777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 celowo upuścić trzymany przedmiot, </w:t>
            </w:r>
          </w:p>
          <w:p w14:paraId="0BCF8E99" w14:textId="77777777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 posługiwać się ruchem </w:t>
            </w:r>
            <w:proofErr w:type="spellStart"/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pęsetkowym</w:t>
            </w:r>
            <w:proofErr w:type="spellEnd"/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 (kciuk przeciwstawia się pozostałym palcom), </w:t>
            </w:r>
          </w:p>
          <w:p w14:paraId="34543064" w14:textId="77777777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 chwytać małe przedmioty końcem wyprostowanego palca wskazującego i kciuka,</w:t>
            </w:r>
          </w:p>
          <w:p w14:paraId="20CEB034" w14:textId="77777777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11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 klaskać, </w:t>
            </w:r>
          </w:p>
          <w:p w14:paraId="2A4751FB" w14:textId="77777777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 uderzać o siebie dwiema kostkami </w:t>
            </w:r>
          </w:p>
          <w:p w14:paraId="5818B20F" w14:textId="344A87C5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 naśladować ruchy osób dorosłych</w:t>
            </w:r>
          </w:p>
        </w:tc>
        <w:tc>
          <w:tcPr>
            <w:tcW w:w="4983" w:type="dxa"/>
          </w:tcPr>
          <w:p w14:paraId="4673DC64" w14:textId="6AC70760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Niemowlę umie już naśladować intonację wypowiedzi, pojawia się u niego dialog, który polega na naśladowaniu znanych mu sylab pod kątem dźwiękowym. Przy gaworzeniu usłyszeć można łańcuchy sylabowe, które zawierają różne spółgłoski i samogłoski oraz wyraźne podwajanie sylab.</w:t>
            </w:r>
          </w:p>
        </w:tc>
      </w:tr>
      <w:tr w:rsidR="008B0119" w:rsidRPr="008B0119" w14:paraId="21ABCB15" w14:textId="77777777" w:rsidTr="008B0119">
        <w:tc>
          <w:tcPr>
            <w:tcW w:w="1560" w:type="dxa"/>
          </w:tcPr>
          <w:p w14:paraId="309FC350" w14:textId="5D719E58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11-12 miesiąc</w:t>
            </w:r>
          </w:p>
        </w:tc>
        <w:tc>
          <w:tcPr>
            <w:tcW w:w="3664" w:type="dxa"/>
          </w:tcPr>
          <w:p w14:paraId="7C14A3C8" w14:textId="4C23D562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 xml:space="preserve">Na tym etapie obserwowalny jest już chwyt </w:t>
            </w:r>
            <w:proofErr w:type="spellStart"/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szczypcowy</w:t>
            </w:r>
            <w:proofErr w:type="spellEnd"/>
          </w:p>
        </w:tc>
        <w:tc>
          <w:tcPr>
            <w:tcW w:w="4983" w:type="dxa"/>
          </w:tcPr>
          <w:p w14:paraId="3EDC3A0D" w14:textId="6BFAF80A" w:rsidR="008B0119" w:rsidRPr="008B0119" w:rsidRDefault="008B0119" w:rsidP="008B0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9">
              <w:rPr>
                <w:rFonts w:ascii="Times New Roman" w:hAnsi="Times New Roman" w:cs="Times New Roman"/>
                <w:sz w:val="24"/>
                <w:szCs w:val="24"/>
              </w:rPr>
              <w:t>W wypowiedzi dziecka słyszalne są słowa zbudowane z sylab otwartych i posiadające znaczenie</w:t>
            </w:r>
          </w:p>
        </w:tc>
      </w:tr>
    </w:tbl>
    <w:p w14:paraId="5A773D3C" w14:textId="7755DE77" w:rsidR="008B0119" w:rsidRDefault="008B0119" w:rsidP="008B0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19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8B0119">
        <w:rPr>
          <w:rFonts w:ascii="Times New Roman" w:hAnsi="Times New Roman" w:cs="Times New Roman"/>
          <w:sz w:val="24"/>
          <w:szCs w:val="24"/>
        </w:rPr>
        <w:t>Wraz ze wzrostem precyzyjnej motoryki rąk, rosną też możliwości w zakresie motoryki narządu artykulacyjnego, pojawia się coraz więcej głosek i dziecko osiąga coraz większą kontrolę nad wydobywanym głosem. Dzieci ze znacznie upośledzoną motoryką, koordynacją statyczną i dynamiczną całego ciała, zaczynają mówić później i niejednokrotnie wykazują zaburzenia mowy. (4). Dlatego też niezwykle ważne jest, by dzieci u których stwierdza się nieprawidłowości w rozwoju funkcji psychomotorycznych zostały objęte szybkimi działaniami terapeutycznymi. Jedną z form stymulujących rozwój mowy jest ergoterapia. „Ergoterapia, inaczej zwana leczeniem przez manipulowanie rękoma, rozwija zręczność manualną (…). Ogólne ćwiczenia ciała, przede wszystkim ręki i palców, mających rozległą reprezentację w polach projekcyjnych kory mózgowej, wywierają istotny wpływ na przebieg ruchów narządów mownych. Mięsnie ich ulegają wzmocnieniu dzięki specjalnym ćwiczeniom.”</w:t>
      </w:r>
    </w:p>
    <w:p w14:paraId="7B184BBA" w14:textId="77777777" w:rsidR="00040750" w:rsidRDefault="00040750" w:rsidP="008B0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5BAAE" w14:textId="553D1598" w:rsidR="00040750" w:rsidRPr="008B0119" w:rsidRDefault="00040750" w:rsidP="008B0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68B515" wp14:editId="7432C34D">
            <wp:extent cx="3022600" cy="1974850"/>
            <wp:effectExtent l="0" t="0" r="6350" b="6350"/>
            <wp:docPr id="2140595335" name="Obraz 2" descr="Dziecko: wektory i ilustracje do darmowego pobrania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cko: wektory i ilustracje do darmowego pobrania | Freep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750" w:rsidRPr="008B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34"/>
    <w:rsid w:val="00040750"/>
    <w:rsid w:val="008B0119"/>
    <w:rsid w:val="00D25434"/>
    <w:rsid w:val="00F9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B473"/>
  <w15:chartTrackingRefBased/>
  <w15:docId w15:val="{C03E3377-CBC2-4F2B-AC1A-C4852BBF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4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54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4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4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54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4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54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54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54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54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54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4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543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543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43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543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543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543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254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54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4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254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254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2543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2543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2543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54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543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25434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D2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1677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Ksia Trybała</dc:creator>
  <cp:keywords/>
  <dc:description/>
  <cp:lastModifiedBy>Ksia Trybała</cp:lastModifiedBy>
  <cp:revision>1</cp:revision>
  <dcterms:created xsi:type="dcterms:W3CDTF">2024-03-05T19:19:00Z</dcterms:created>
  <dcterms:modified xsi:type="dcterms:W3CDTF">2024-03-05T19:44:00Z</dcterms:modified>
</cp:coreProperties>
</file>